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256CE">
      <w:pPr>
        <w:pStyle w:val="3"/>
        <w:keepNext w:val="0"/>
        <w:keepLines w:val="0"/>
        <w:pageBreakBefore w:val="0"/>
        <w:widowControl/>
        <w:suppressLineNumbers w:val="0"/>
        <w:kinsoku/>
        <w:wordWrap/>
        <w:overflowPunct/>
        <w:topLinePunct w:val="0"/>
        <w:autoSpaceDE/>
        <w:autoSpaceDN/>
        <w:bidi w:val="0"/>
        <w:adjustRightInd/>
        <w:snapToGrid/>
        <w:spacing w:line="660" w:lineRule="exact"/>
        <w:ind w:firstLine="1920" w:firstLineChars="600"/>
        <w:jc w:val="both"/>
        <w:textAlignment w:val="auto"/>
        <w:rPr>
          <w:rStyle w:val="24"/>
          <w:rFonts w:hint="eastAsia" w:ascii="方正小标宋简体" w:hAnsi="方正小标宋简体" w:eastAsia="方正小标宋简体" w:cs="方正小标宋简体"/>
          <w:i w:val="0"/>
          <w:iCs w:val="0"/>
          <w:caps w:val="0"/>
          <w:color w:val="404040"/>
          <w:spacing w:val="0"/>
          <w:sz w:val="44"/>
          <w:szCs w:val="44"/>
        </w:rPr>
      </w:pPr>
      <w:r>
        <w:rPr>
          <w:rFonts w:hint="eastAsia" w:ascii="仿宋_GB2312" w:hAnsi="仿宋_GB2312" w:eastAsia="仿宋_GB2312" w:cs="仿宋_GB2312"/>
          <w:sz w:val="32"/>
          <w:szCs w:val="32"/>
          <w:lang w:val="en-US" w:eastAsia="zh-CN"/>
        </w:rPr>
        <w:t xml:space="preserve">    </w:t>
      </w:r>
      <w:bookmarkStart w:id="0" w:name="_GoBack"/>
      <w:r>
        <w:rPr>
          <w:rStyle w:val="24"/>
          <w:rFonts w:hint="eastAsia" w:ascii="方正小标宋简体" w:hAnsi="方正小标宋简体" w:eastAsia="方正小标宋简体" w:cs="方正小标宋简体"/>
          <w:i w:val="0"/>
          <w:iCs w:val="0"/>
          <w:caps w:val="0"/>
          <w:color w:val="404040"/>
          <w:spacing w:val="0"/>
          <w:sz w:val="44"/>
          <w:szCs w:val="44"/>
        </w:rPr>
        <w:t>竞争性谈判文件</w:t>
      </w:r>
      <w:bookmarkEnd w:id="0"/>
    </w:p>
    <w:p w14:paraId="5632F5A2">
      <w:pPr>
        <w:rPr>
          <w:rFonts w:hint="default"/>
        </w:rPr>
      </w:pPr>
    </w:p>
    <w:p w14:paraId="7565328E">
      <w:pPr>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一、项目概述​</w:t>
      </w:r>
    </w:p>
    <w:p w14:paraId="4920BF02">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val="0"/>
          <w:kern w:val="2"/>
          <w:sz w:val="32"/>
          <w:szCs w:val="32"/>
          <w:highlight w:val="none"/>
          <w:lang w:val="en-US" w:eastAsia="zh-CN" w:bidi="ar-SA"/>
        </w:rPr>
        <w:t>（一）</w:t>
      </w:r>
      <w:r>
        <w:rPr>
          <w:rFonts w:hint="eastAsia" w:ascii="楷体_GB2312" w:hAnsi="楷体_GB2312" w:eastAsia="楷体_GB2312" w:cs="楷体_GB2312"/>
          <w:b/>
          <w:bCs/>
          <w:sz w:val="32"/>
          <w:szCs w:val="32"/>
          <w:lang w:eastAsia="zh-CN"/>
        </w:rPr>
        <w:t>项目名称</w:t>
      </w:r>
    </w:p>
    <w:p w14:paraId="42247892">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包一：四川全盛人才服务有限责任公司选聘雇主责任险供应商。</w:t>
      </w:r>
    </w:p>
    <w:p w14:paraId="5AC3E107">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包二：四川全盛人才服务有限责任公司选聘员工团体意外险供应商。</w:t>
      </w:r>
    </w:p>
    <w:p w14:paraId="0C04CEB2">
      <w:pPr>
        <w:keepNext w:val="0"/>
        <w:keepLines w:val="0"/>
        <w:pageBreakBefore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val="0"/>
          <w:kern w:val="2"/>
          <w:sz w:val="32"/>
          <w:szCs w:val="32"/>
          <w:highlight w:val="none"/>
          <w:lang w:val="en-US" w:eastAsia="zh-CN" w:bidi="ar-SA"/>
        </w:rPr>
        <w:t>（二）</w:t>
      </w:r>
      <w:r>
        <w:rPr>
          <w:rFonts w:hint="eastAsia" w:ascii="楷体_GB2312" w:hAnsi="楷体_GB2312" w:eastAsia="楷体_GB2312" w:cs="楷体_GB2312"/>
          <w:b/>
          <w:bCs/>
          <w:sz w:val="32"/>
          <w:szCs w:val="32"/>
          <w:lang w:eastAsia="zh-CN"/>
        </w:rPr>
        <w:t>项目背景</w:t>
      </w:r>
    </w:p>
    <w:p w14:paraId="21C44026">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为了保障</w:t>
      </w:r>
      <w:r>
        <w:rPr>
          <w:rFonts w:hint="eastAsia" w:ascii="仿宋_GB2312" w:hAnsi="仿宋_GB2312" w:cs="仿宋_GB2312"/>
          <w:b w:val="0"/>
          <w:bCs w:val="0"/>
          <w:sz w:val="32"/>
          <w:szCs w:val="32"/>
          <w:lang w:val="en-US" w:eastAsia="zh-CN"/>
        </w:rPr>
        <w:t>四川全盛人才服务有限责任公司员工</w:t>
      </w:r>
      <w:r>
        <w:rPr>
          <w:rFonts w:hint="eastAsia" w:ascii="仿宋_GB2312" w:hAnsi="仿宋_GB2312" w:eastAsia="仿宋_GB2312" w:cs="仿宋_GB2312"/>
          <w:b w:val="0"/>
          <w:bCs w:val="0"/>
          <w:sz w:val="32"/>
          <w:szCs w:val="32"/>
          <w:lang w:eastAsia="zh-CN"/>
        </w:rPr>
        <w:t>的合法权益，分散企业用工风险，现需通过</w:t>
      </w:r>
      <w:r>
        <w:rPr>
          <w:rFonts w:hint="eastAsia" w:ascii="仿宋_GB2312" w:hAnsi="仿宋_GB2312" w:eastAsia="仿宋_GB2312" w:cs="仿宋_GB2312"/>
          <w:b w:val="0"/>
          <w:bCs w:val="0"/>
          <w:sz w:val="32"/>
          <w:szCs w:val="32"/>
          <w:highlight w:val="none"/>
          <w:lang w:eastAsia="zh-CN"/>
        </w:rPr>
        <w:t>竞争性谈判方式确定一家</w:t>
      </w:r>
      <w:r>
        <w:rPr>
          <w:rFonts w:hint="eastAsia" w:ascii="仿宋_GB2312" w:hAnsi="仿宋_GB2312" w:eastAsia="仿宋_GB2312" w:cs="仿宋_GB2312"/>
          <w:b w:val="0"/>
          <w:bCs/>
          <w:kern w:val="2"/>
          <w:sz w:val="32"/>
          <w:szCs w:val="32"/>
          <w:highlight w:val="none"/>
          <w:lang w:val="en-US" w:eastAsia="zh-CN" w:bidi="ar-SA"/>
        </w:rPr>
        <w:t>雇主责任</w:t>
      </w:r>
      <w:r>
        <w:rPr>
          <w:rFonts w:hint="eastAsia" w:ascii="仿宋_GB2312" w:hAnsi="仿宋_GB2312" w:eastAsia="仿宋_GB2312" w:cs="仿宋_GB2312"/>
          <w:b w:val="0"/>
          <w:bCs w:val="0"/>
          <w:sz w:val="32"/>
          <w:szCs w:val="32"/>
          <w:highlight w:val="none"/>
          <w:lang w:eastAsia="zh-CN"/>
        </w:rPr>
        <w:t>险供应商</w:t>
      </w:r>
      <w:r>
        <w:rPr>
          <w:rFonts w:hint="eastAsia" w:ascii="仿宋_GB2312" w:hAnsi="仿宋_GB2312" w:cs="仿宋_GB2312"/>
          <w:b w:val="0"/>
          <w:bCs w:val="0"/>
          <w:sz w:val="32"/>
          <w:szCs w:val="32"/>
          <w:highlight w:val="none"/>
          <w:lang w:val="en-US" w:eastAsia="zh-CN"/>
        </w:rPr>
        <w:t>和</w:t>
      </w:r>
      <w:r>
        <w:rPr>
          <w:rFonts w:hint="eastAsia" w:ascii="仿宋_GB2312" w:hAnsi="仿宋_GB2312" w:eastAsia="仿宋_GB2312" w:cs="仿宋_GB2312"/>
          <w:b w:val="0"/>
          <w:bCs w:val="0"/>
          <w:sz w:val="32"/>
          <w:szCs w:val="32"/>
          <w:highlight w:val="none"/>
          <w:lang w:eastAsia="zh-CN"/>
        </w:rPr>
        <w:t>一家</w:t>
      </w:r>
      <w:r>
        <w:rPr>
          <w:rFonts w:hint="eastAsia" w:ascii="仿宋_GB2312" w:hAnsi="仿宋_GB2312" w:eastAsia="仿宋_GB2312" w:cs="仿宋_GB2312"/>
          <w:b w:val="0"/>
          <w:bCs/>
          <w:kern w:val="2"/>
          <w:sz w:val="32"/>
          <w:szCs w:val="32"/>
          <w:highlight w:val="none"/>
          <w:lang w:val="en-US" w:eastAsia="zh-CN" w:bidi="ar-SA"/>
        </w:rPr>
        <w:t>员工</w:t>
      </w:r>
      <w:r>
        <w:rPr>
          <w:rFonts w:hint="eastAsia" w:ascii="Times New Roman" w:hAnsi="Times New Roman" w:eastAsia="仿宋_GB2312" w:cs="Times New Roman"/>
          <w:b w:val="0"/>
          <w:bCs w:val="0"/>
          <w:kern w:val="2"/>
          <w:sz w:val="32"/>
          <w:szCs w:val="32"/>
          <w:lang w:val="en-US" w:eastAsia="zh-CN" w:bidi="ar-SA"/>
        </w:rPr>
        <w:t>团体意外险</w:t>
      </w:r>
      <w:r>
        <w:rPr>
          <w:rFonts w:hint="eastAsia" w:ascii="Times New Roman" w:hAnsi="Times New Roman" w:cs="Times New Roman"/>
          <w:b w:val="0"/>
          <w:bCs w:val="0"/>
          <w:kern w:val="2"/>
          <w:sz w:val="32"/>
          <w:szCs w:val="32"/>
          <w:lang w:val="en-US" w:eastAsia="zh-CN" w:bidi="ar-SA"/>
        </w:rPr>
        <w:t>供应商</w:t>
      </w:r>
      <w:r>
        <w:rPr>
          <w:rFonts w:hint="eastAsia" w:ascii="仿宋_GB2312" w:hAnsi="仿宋_GB2312" w:eastAsia="仿宋_GB2312" w:cs="仿宋_GB2312"/>
          <w:b w:val="0"/>
          <w:bCs w:val="0"/>
          <w:sz w:val="32"/>
          <w:szCs w:val="32"/>
          <w:lang w:eastAsia="zh-CN"/>
        </w:rPr>
        <w:t>，为</w:t>
      </w:r>
      <w:r>
        <w:rPr>
          <w:rFonts w:hint="eastAsia" w:ascii="仿宋_GB2312" w:hAnsi="仿宋_GB2312" w:cs="仿宋_GB2312"/>
          <w:b w:val="0"/>
          <w:bCs w:val="0"/>
          <w:sz w:val="32"/>
          <w:szCs w:val="32"/>
          <w:lang w:val="en-US" w:eastAsia="zh-CN"/>
        </w:rPr>
        <w:t>员工</w:t>
      </w:r>
      <w:r>
        <w:rPr>
          <w:rFonts w:hint="eastAsia" w:ascii="仿宋_GB2312" w:hAnsi="仿宋_GB2312" w:eastAsia="仿宋_GB2312" w:cs="仿宋_GB2312"/>
          <w:b w:val="0"/>
          <w:bCs w:val="0"/>
          <w:sz w:val="32"/>
          <w:szCs w:val="32"/>
          <w:lang w:eastAsia="zh-CN"/>
        </w:rPr>
        <w:t>提供全面、合适的商业保险服务。</w:t>
      </w:r>
    </w:p>
    <w:p w14:paraId="31DA56C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二、项目需求</w:t>
      </w:r>
    </w:p>
    <w:p w14:paraId="1D3D3FF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i w:val="0"/>
          <w:iCs w:val="0"/>
          <w:caps w:val="0"/>
          <w:color w:val="333333"/>
          <w:spacing w:val="0"/>
          <w:sz w:val="32"/>
          <w:szCs w:val="32"/>
          <w:highlight w:val="none"/>
        </w:rPr>
        <w:t>本项目相关需求如下，后期可根据项目实际需要或</w:t>
      </w:r>
      <w:r>
        <w:rPr>
          <w:rFonts w:hint="eastAsia" w:ascii="仿宋_GB2312" w:hAnsi="仿宋_GB2312" w:eastAsia="仿宋_GB2312" w:cs="仿宋_GB2312"/>
          <w:i w:val="0"/>
          <w:iCs w:val="0"/>
          <w:caps w:val="0"/>
          <w:color w:val="333333"/>
          <w:spacing w:val="0"/>
          <w:sz w:val="32"/>
          <w:szCs w:val="32"/>
          <w:highlight w:val="none"/>
          <w:lang w:val="en-US" w:eastAsia="zh-CN"/>
        </w:rPr>
        <w:t>保险</w:t>
      </w:r>
      <w:r>
        <w:rPr>
          <w:rFonts w:hint="eastAsia" w:ascii="仿宋_GB2312" w:hAnsi="仿宋_GB2312" w:eastAsia="仿宋_GB2312" w:cs="仿宋_GB2312"/>
          <w:i w:val="0"/>
          <w:iCs w:val="0"/>
          <w:caps w:val="0"/>
          <w:color w:val="333333"/>
          <w:spacing w:val="0"/>
          <w:sz w:val="32"/>
          <w:szCs w:val="32"/>
          <w:highlight w:val="none"/>
        </w:rPr>
        <w:t>机构相关建议进行适当调整。</w:t>
      </w:r>
    </w:p>
    <w:p w14:paraId="110C9B8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firstLine="643" w:firstLineChars="200"/>
        <w:textAlignment w:val="auto"/>
        <w:rPr>
          <w:rFonts w:hint="eastAsia" w:ascii="楷体_GB2312" w:hAnsi="楷体_GB2312" w:eastAsia="楷体_GB2312" w:cs="楷体_GB2312"/>
          <w:b/>
          <w:bCs w:val="0"/>
          <w:kern w:val="2"/>
          <w:sz w:val="32"/>
          <w:szCs w:val="32"/>
          <w:highlight w:val="none"/>
          <w:lang w:val="en-US" w:eastAsia="zh-CN" w:bidi="ar-SA"/>
        </w:rPr>
      </w:pPr>
      <w:r>
        <w:rPr>
          <w:rFonts w:hint="eastAsia" w:ascii="楷体_GB2312" w:hAnsi="楷体_GB2312" w:eastAsia="楷体_GB2312" w:cs="楷体_GB2312"/>
          <w:b/>
          <w:bCs w:val="0"/>
          <w:kern w:val="2"/>
          <w:sz w:val="32"/>
          <w:szCs w:val="32"/>
          <w:highlight w:val="none"/>
          <w:lang w:val="en-US" w:eastAsia="zh-CN" w:bidi="ar-SA"/>
        </w:rPr>
        <w:t>（一）保险类型</w:t>
      </w:r>
    </w:p>
    <w:p w14:paraId="04860E39">
      <w:pPr>
        <w:pStyle w:val="27"/>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本次选聘涵盖的保险类型包括：雇主责任险和员工意外伤害保险。</w:t>
      </w:r>
    </w:p>
    <w:p w14:paraId="4675FB9D">
      <w:pPr>
        <w:pStyle w:val="27"/>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保险期限为一年，自合同签订之日起生效，到期自动终止。在保险期间内，保险公司应确保理赔服务的及时性和准确性，为项目人员提供稳定的保障。</w:t>
      </w:r>
    </w:p>
    <w:p w14:paraId="019F1707">
      <w:pPr>
        <w:pStyle w:val="27"/>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val="0"/>
          <w:kern w:val="2"/>
          <w:sz w:val="32"/>
          <w:szCs w:val="32"/>
          <w:highlight w:val="none"/>
          <w:lang w:val="en-US" w:eastAsia="zh-CN" w:bidi="ar-SA"/>
        </w:rPr>
      </w:pPr>
      <w:r>
        <w:rPr>
          <w:rFonts w:hint="eastAsia" w:ascii="楷体_GB2312" w:hAnsi="楷体_GB2312" w:eastAsia="楷体_GB2312" w:cs="楷体_GB2312"/>
          <w:b/>
          <w:bCs w:val="0"/>
          <w:kern w:val="2"/>
          <w:sz w:val="32"/>
          <w:szCs w:val="32"/>
          <w:highlight w:val="none"/>
          <w:lang w:val="en-US" w:eastAsia="zh-CN" w:bidi="ar-SA"/>
        </w:rPr>
        <w:t>（二）项目需求</w:t>
      </w:r>
    </w:p>
    <w:p w14:paraId="61498E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 xml:space="preserve">1.包一雇主责任险  </w:t>
      </w:r>
    </w:p>
    <w:p w14:paraId="25D6F2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（1）确保在不同风险场景下，保险方案能覆盖项目人员的工伤、职业病、意外伤害等风险，保障企业和员工都能获得充分的经济补偿。</w:t>
      </w:r>
    </w:p>
    <w:p w14:paraId="4A51D5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2</w:t>
      </w:r>
      <w:r>
        <w:rPr>
          <w:rFonts w:hint="eastAsia" w:ascii="Times New Roman" w:hAnsi="Times New Roman"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按天计费，操作灵活，免费替换，可月投、季度投、年投(可减员退费)，安排专人对接。这种灵活的缴费和管理方式，便于我司根据项目人员的动态变化，及时调整保险方案，优化成本支出，同时专人对接能确保沟通顺畅，提高服务效率。</w:t>
      </w:r>
    </w:p>
    <w:p w14:paraId="642749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3</w:t>
      </w:r>
      <w:r>
        <w:rPr>
          <w:rFonts w:hint="eastAsia" w:ascii="Times New Roman" w:hAnsi="Times New Roman"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每月有详细的保险台账，每月退保的费用可直接抵扣新参保人员保费，定期清算并退回保费。详细的保险台账有助于我司清晰掌握保险费用的收支情况，退保费用抵扣新参保人员保费的机制，能够实现保费的循环利用，降低整体成本，定期清算并退回保费保障资金的及时回流。</w:t>
      </w:r>
    </w:p>
    <w:p w14:paraId="308EAD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4</w:t>
      </w:r>
      <w:r>
        <w:rPr>
          <w:rFonts w:hint="eastAsia" w:ascii="Times New Roman" w:hAnsi="Times New Roman"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无参保等待期，猝死同主险，交通事故正常赔付，不限员工责任比例。确保员工在保险期间内，无论因何种意外导致的伤害、死亡，都能及时获得赔付。</w:t>
      </w:r>
    </w:p>
    <w:p w14:paraId="5D21E9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Times New Roman" w:hAnsi="Times New Roman"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5</w:t>
      </w:r>
      <w:r>
        <w:rPr>
          <w:rFonts w:hint="eastAsia" w:ascii="Times New Roman" w:hAnsi="Times New Roman"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采购人可自行组合选择保险种类（含补充保险）及保额，采购人</w:t>
      </w:r>
      <w:r>
        <w:rPr>
          <w:rFonts w:ascii="Times New Roman" w:hAnsi="Times New Roman" w:eastAsia="仿宋_GB2312" w:cs="Times New Roman"/>
          <w:b w:val="0"/>
          <w:bCs w:val="0"/>
          <w:kern w:val="2"/>
          <w:sz w:val="32"/>
          <w:szCs w:val="32"/>
          <w:lang w:bidi="ar-SA"/>
        </w:rPr>
        <w:t>对5类人员的</w:t>
      </w:r>
      <w:r>
        <w:rPr>
          <w:rFonts w:hint="eastAsia" w:ascii="Times New Roman" w:hAnsi="Times New Roman" w:eastAsia="仿宋_GB2312" w:cs="Times New Roman"/>
          <w:b w:val="0"/>
          <w:bCs w:val="0"/>
          <w:kern w:val="2"/>
          <w:sz w:val="32"/>
          <w:szCs w:val="32"/>
          <w:lang w:val="en-US" w:eastAsia="zh-CN" w:bidi="ar-SA"/>
        </w:rPr>
        <w:t>雇主责任险</w:t>
      </w:r>
      <w:r>
        <w:rPr>
          <w:rFonts w:ascii="Times New Roman" w:hAnsi="Times New Roman" w:eastAsia="仿宋_GB2312" w:cs="Times New Roman"/>
          <w:b w:val="0"/>
          <w:bCs w:val="0"/>
          <w:kern w:val="2"/>
          <w:sz w:val="32"/>
          <w:szCs w:val="32"/>
          <w:lang w:bidi="ar-SA"/>
        </w:rPr>
        <w:t>保额不超过60万元</w:t>
      </w:r>
      <w:r>
        <w:rPr>
          <w:rFonts w:hint="eastAsia" w:ascii="Times New Roman" w:hAnsi="Times New Roman" w:eastAsia="仿宋_GB2312" w:cs="Times New Roman"/>
          <w:b w:val="0"/>
          <w:bCs w:val="0"/>
          <w:kern w:val="2"/>
          <w:sz w:val="32"/>
          <w:szCs w:val="32"/>
          <w:lang w:eastAsia="zh-CN" w:bidi="ar-SA"/>
        </w:rPr>
        <w:t>。</w:t>
      </w:r>
    </w:p>
    <w:p w14:paraId="1EC4B0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2.包二团体意外险</w:t>
      </w:r>
    </w:p>
    <w:p w14:paraId="5D06B9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（1）确保在不同风险场景下，保险方案能覆盖项目人员的工伤、职业病、意外伤害等风险，保障企业和员工都能获得充分的经济补偿。</w:t>
      </w:r>
    </w:p>
    <w:p w14:paraId="28585C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cs="Times New Roman"/>
          <w:b w:val="0"/>
          <w:bCs w:val="0"/>
          <w:kern w:val="2"/>
          <w:sz w:val="32"/>
          <w:szCs w:val="32"/>
          <w:lang w:val="en-US" w:eastAsia="zh-CN" w:bidi="ar-SA"/>
        </w:rPr>
        <w:t>（2）</w:t>
      </w:r>
      <w:r>
        <w:rPr>
          <w:rFonts w:hint="eastAsia" w:ascii="Times New Roman" w:hAnsi="Times New Roman" w:eastAsia="仿宋_GB2312" w:cs="Times New Roman"/>
          <w:b w:val="0"/>
          <w:bCs w:val="0"/>
          <w:kern w:val="2"/>
          <w:sz w:val="32"/>
          <w:szCs w:val="32"/>
          <w:lang w:val="en-US" w:eastAsia="zh-CN" w:bidi="ar-SA"/>
        </w:rPr>
        <w:t>按天计费，操作灵活，免费替换，可月投、季度投、年投(可减员退费)，安排专人对接。这种灵活的缴费和管理方式，便于我司根据项目人员的动态变化，及时调整保险方案，优化成本支出，同时专人对接能确保沟通顺畅，提高服务效率。</w:t>
      </w:r>
    </w:p>
    <w:p w14:paraId="145DAF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3</w:t>
      </w:r>
      <w:r>
        <w:rPr>
          <w:rFonts w:hint="eastAsia" w:ascii="Times New Roman" w:hAnsi="Times New Roman"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每月有详细的保险台账，每月退保的费用可直接抵扣新参保人员保费，定期清算并退回保费。详细的保险台账有助于我司清晰掌握保险费用的收支情况，退保费用抵扣新参保人员保费的机制，能够实现保费的循环利用，降低整体成本，定期清算并退回保费保障资金的及时回流。</w:t>
      </w:r>
    </w:p>
    <w:p w14:paraId="1E4A9138">
      <w:pPr>
        <w:pStyle w:val="27"/>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Times New Roman" w:hAnsi="Times New Roman"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4</w:t>
      </w:r>
      <w:r>
        <w:rPr>
          <w:rFonts w:hint="eastAsia" w:ascii="Times New Roman" w:hAnsi="Times New Roman"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无参保等待期，猝死或突发疾病死亡同主险，交通事故正常赔付，不限员工责任比例。确保员工在保险期间内，无论因何种意外或疾病导致的伤害、死亡，都能及时获得赔付。</w:t>
      </w:r>
    </w:p>
    <w:p w14:paraId="21D75E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三、资格要求</w:t>
      </w:r>
    </w:p>
    <w:p w14:paraId="6A0CD8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lang w:val="en-US" w:eastAsia="zh-CN" w:bidi="ar-SA"/>
        </w:rPr>
        <w:t>（一）满足《中华人民共和国政府采购法》第二十二条规定：</w:t>
      </w:r>
    </w:p>
    <w:p w14:paraId="52E580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1.具有独立承担民事责任的能力；</w:t>
      </w:r>
    </w:p>
    <w:p w14:paraId="775F5C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2.具有良好的商业信誉和健全的财务会计制度；</w:t>
      </w:r>
    </w:p>
    <w:p w14:paraId="409C2C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3.具有履行合同所必需的设备和专业技术能力；</w:t>
      </w:r>
    </w:p>
    <w:p w14:paraId="385870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4.有依法缴纳税收和社会保障资金的良好记录；</w:t>
      </w:r>
    </w:p>
    <w:p w14:paraId="2FA0CC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5.参加政府采购活动前三年内，在经营活动中没有重大违法记录；</w:t>
      </w:r>
    </w:p>
    <w:p w14:paraId="1E4BA7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6.法律、行政法规规定的其他条件。</w:t>
      </w:r>
    </w:p>
    <w:p w14:paraId="062BFC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（二）持有有效的营业执照及经营保险业务许可证。</w:t>
      </w:r>
    </w:p>
    <w:p w14:paraId="1BE125FA">
      <w:pPr>
        <w:pStyle w:val="27"/>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（三）纳税人资质为：增值税一般纳税人。</w:t>
      </w:r>
    </w:p>
    <w:p w14:paraId="517768EE">
      <w:pPr>
        <w:pStyle w:val="27"/>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四、项目报价</w:t>
      </w:r>
    </w:p>
    <w:p w14:paraId="06B3FB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cs="Times New Roman"/>
          <w:b w:val="0"/>
          <w:bCs w:val="0"/>
          <w:kern w:val="2"/>
          <w:sz w:val="32"/>
          <w:szCs w:val="32"/>
          <w:lang w:bidi="ar-SA"/>
        </w:rPr>
      </w:pPr>
      <w:r>
        <w:rPr>
          <w:rFonts w:hint="eastAsia" w:ascii="Times New Roman" w:hAnsi="Times New Roman" w:cs="Times New Roman"/>
          <w:b w:val="0"/>
          <w:bCs w:val="0"/>
          <w:kern w:val="2"/>
          <w:sz w:val="32"/>
          <w:szCs w:val="32"/>
          <w:lang w:eastAsia="zh-CN" w:bidi="ar-SA"/>
        </w:rPr>
        <w:t>（</w:t>
      </w:r>
      <w:r>
        <w:rPr>
          <w:rFonts w:hint="eastAsia" w:ascii="Times New Roman" w:hAnsi="Times New Roman" w:cs="Times New Roman"/>
          <w:b w:val="0"/>
          <w:bCs w:val="0"/>
          <w:kern w:val="2"/>
          <w:sz w:val="32"/>
          <w:szCs w:val="32"/>
          <w:lang w:val="en-US" w:eastAsia="zh-CN" w:bidi="ar-SA"/>
        </w:rPr>
        <w:t>一</w:t>
      </w:r>
      <w:r>
        <w:rPr>
          <w:rFonts w:hint="eastAsia" w:ascii="Times New Roman" w:hAnsi="Times New Roman" w:cs="Times New Roman"/>
          <w:b w:val="0"/>
          <w:bCs w:val="0"/>
          <w:kern w:val="2"/>
          <w:sz w:val="32"/>
          <w:szCs w:val="32"/>
          <w:lang w:eastAsia="zh-CN" w:bidi="ar-SA"/>
        </w:rPr>
        <w:t>）</w:t>
      </w:r>
      <w:r>
        <w:rPr>
          <w:rFonts w:hint="eastAsia" w:ascii="Times New Roman" w:hAnsi="Times New Roman" w:cs="Times New Roman"/>
          <w:b w:val="0"/>
          <w:bCs w:val="0"/>
          <w:kern w:val="2"/>
          <w:sz w:val="32"/>
          <w:szCs w:val="32"/>
          <w:lang w:val="en-US" w:eastAsia="zh-CN" w:bidi="ar-SA"/>
        </w:rPr>
        <w:t>包一：</w:t>
      </w:r>
      <w:r>
        <w:rPr>
          <w:rFonts w:ascii="Times New Roman" w:hAnsi="Times New Roman" w:eastAsia="仿宋_GB2312" w:cs="Times New Roman"/>
          <w:b w:val="0"/>
          <w:bCs w:val="0"/>
          <w:kern w:val="2"/>
          <w:sz w:val="32"/>
          <w:szCs w:val="32"/>
          <w:lang w:bidi="ar-SA"/>
        </w:rPr>
        <w:t>雇主责任险</w:t>
      </w:r>
      <w:r>
        <w:rPr>
          <w:rFonts w:hint="eastAsia" w:ascii="Times New Roman" w:hAnsi="Times New Roman" w:cs="Times New Roman"/>
          <w:b w:val="0"/>
          <w:bCs w:val="0"/>
          <w:kern w:val="2"/>
          <w:sz w:val="32"/>
          <w:szCs w:val="32"/>
          <w:lang w:eastAsia="zh-CN" w:bidi="ar-SA"/>
        </w:rPr>
        <w:t>，</w:t>
      </w:r>
      <w:r>
        <w:rPr>
          <w:rFonts w:hint="eastAsia" w:ascii="Times New Roman" w:hAnsi="Times New Roman" w:eastAsia="仿宋_GB2312" w:cs="Times New Roman"/>
          <w:b w:val="0"/>
          <w:bCs w:val="0"/>
          <w:kern w:val="2"/>
          <w:sz w:val="32"/>
          <w:szCs w:val="32"/>
          <w:lang w:val="en-US" w:eastAsia="zh-CN" w:bidi="ar-SA"/>
        </w:rPr>
        <w:t>对</w:t>
      </w:r>
      <w:r>
        <w:rPr>
          <w:rFonts w:ascii="Times New Roman" w:hAnsi="Times New Roman" w:eastAsia="仿宋_GB2312" w:cs="Times New Roman"/>
          <w:b w:val="0"/>
          <w:bCs w:val="0"/>
          <w:kern w:val="2"/>
          <w:sz w:val="32"/>
          <w:szCs w:val="32"/>
          <w:lang w:bidi="ar-SA"/>
        </w:rPr>
        <w:t>1至5类人员分别报价，基础保额为10万元</w:t>
      </w:r>
      <w:r>
        <w:rPr>
          <w:rFonts w:hint="eastAsia" w:ascii="Times New Roman" w:hAnsi="Times New Roman" w:eastAsia="仿宋_GB2312" w:cs="Times New Roman"/>
          <w:b w:val="0"/>
          <w:bCs w:val="0"/>
          <w:kern w:val="2"/>
          <w:sz w:val="32"/>
          <w:szCs w:val="32"/>
          <w:lang w:val="en-US" w:eastAsia="zh-CN" w:bidi="ar-SA"/>
        </w:rPr>
        <w:t>+1万元、</w:t>
      </w:r>
      <w:r>
        <w:rPr>
          <w:rFonts w:ascii="Times New Roman" w:hAnsi="Times New Roman" w:eastAsia="仿宋_GB2312" w:cs="Times New Roman"/>
          <w:b w:val="0"/>
          <w:bCs w:val="0"/>
          <w:kern w:val="2"/>
          <w:sz w:val="32"/>
          <w:szCs w:val="32"/>
          <w:lang w:bidi="ar-SA"/>
        </w:rPr>
        <w:t>外加每日住院补贴150元，以及按10级伤残比例10%计算的附加险。</w:t>
      </w:r>
    </w:p>
    <w:p w14:paraId="5CF253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cs="Times New Roman"/>
          <w:b w:val="0"/>
          <w:bCs w:val="0"/>
          <w:kern w:val="2"/>
          <w:sz w:val="32"/>
          <w:szCs w:val="32"/>
          <w:lang w:eastAsia="zh-CN" w:bidi="ar-SA"/>
        </w:rPr>
        <w:t>（</w:t>
      </w:r>
      <w:r>
        <w:rPr>
          <w:rFonts w:hint="eastAsia" w:ascii="Times New Roman" w:hAnsi="Times New Roman" w:cs="Times New Roman"/>
          <w:b w:val="0"/>
          <w:bCs w:val="0"/>
          <w:kern w:val="2"/>
          <w:sz w:val="32"/>
          <w:szCs w:val="32"/>
          <w:lang w:val="en-US" w:eastAsia="zh-CN" w:bidi="ar-SA"/>
        </w:rPr>
        <w:t>二</w:t>
      </w:r>
      <w:r>
        <w:rPr>
          <w:rFonts w:hint="eastAsia" w:ascii="Times New Roman" w:hAnsi="Times New Roman" w:cs="Times New Roman"/>
          <w:b w:val="0"/>
          <w:bCs w:val="0"/>
          <w:kern w:val="2"/>
          <w:sz w:val="32"/>
          <w:szCs w:val="32"/>
          <w:lang w:eastAsia="zh-CN" w:bidi="ar-SA"/>
        </w:rPr>
        <w:t>）</w:t>
      </w:r>
      <w:r>
        <w:rPr>
          <w:rFonts w:hint="eastAsia" w:ascii="Times New Roman" w:hAnsi="Times New Roman" w:cs="Times New Roman"/>
          <w:b w:val="0"/>
          <w:bCs w:val="0"/>
          <w:kern w:val="2"/>
          <w:sz w:val="32"/>
          <w:szCs w:val="32"/>
          <w:lang w:val="en-US" w:eastAsia="zh-CN" w:bidi="ar-SA"/>
        </w:rPr>
        <w:t>包二：</w:t>
      </w:r>
      <w:r>
        <w:rPr>
          <w:rFonts w:ascii="Times New Roman" w:hAnsi="Times New Roman" w:eastAsia="仿宋_GB2312" w:cs="Times New Roman"/>
          <w:b w:val="0"/>
          <w:bCs w:val="0"/>
          <w:kern w:val="2"/>
          <w:sz w:val="32"/>
          <w:szCs w:val="32"/>
          <w:lang w:bidi="ar-SA"/>
        </w:rPr>
        <w:t>团体意外险</w:t>
      </w:r>
      <w:r>
        <w:rPr>
          <w:rFonts w:hint="eastAsia" w:ascii="Times New Roman" w:hAnsi="Times New Roman" w:cs="Times New Roman"/>
          <w:b w:val="0"/>
          <w:bCs w:val="0"/>
          <w:kern w:val="2"/>
          <w:sz w:val="32"/>
          <w:szCs w:val="32"/>
          <w:lang w:eastAsia="zh-CN" w:bidi="ar-SA"/>
        </w:rPr>
        <w:t>，</w:t>
      </w:r>
      <w:r>
        <w:rPr>
          <w:rFonts w:hint="eastAsia" w:ascii="Times New Roman" w:hAnsi="Times New Roman" w:eastAsia="仿宋_GB2312" w:cs="Times New Roman"/>
          <w:b w:val="0"/>
          <w:bCs w:val="0"/>
          <w:kern w:val="2"/>
          <w:sz w:val="32"/>
          <w:szCs w:val="32"/>
          <w:lang w:val="en-US" w:eastAsia="zh-CN" w:bidi="ar-SA"/>
        </w:rPr>
        <w:t>对</w:t>
      </w:r>
      <w:r>
        <w:rPr>
          <w:rFonts w:ascii="Times New Roman" w:hAnsi="Times New Roman" w:eastAsia="仿宋_GB2312" w:cs="Times New Roman"/>
          <w:b w:val="0"/>
          <w:bCs w:val="0"/>
          <w:kern w:val="2"/>
          <w:sz w:val="32"/>
          <w:szCs w:val="32"/>
          <w:lang w:bidi="ar-SA"/>
        </w:rPr>
        <w:t>1至5类人员分别报价，基础保额为10万元</w:t>
      </w:r>
      <w:r>
        <w:rPr>
          <w:rFonts w:hint="eastAsia" w:ascii="Times New Roman" w:hAnsi="Times New Roman" w:eastAsia="仿宋_GB2312" w:cs="Times New Roman"/>
          <w:b w:val="0"/>
          <w:bCs w:val="0"/>
          <w:kern w:val="2"/>
          <w:sz w:val="32"/>
          <w:szCs w:val="32"/>
          <w:lang w:val="en-US" w:eastAsia="zh-CN" w:bidi="ar-SA"/>
        </w:rPr>
        <w:t>+1万元、</w:t>
      </w:r>
      <w:r>
        <w:rPr>
          <w:rFonts w:ascii="Times New Roman" w:hAnsi="Times New Roman" w:eastAsia="仿宋_GB2312" w:cs="Times New Roman"/>
          <w:b w:val="0"/>
          <w:bCs w:val="0"/>
          <w:kern w:val="2"/>
          <w:sz w:val="32"/>
          <w:szCs w:val="32"/>
          <w:lang w:bidi="ar-SA"/>
        </w:rPr>
        <w:t>每日误工补贴为150元</w:t>
      </w:r>
      <w:r>
        <w:rPr>
          <w:rFonts w:hint="eastAsia" w:ascii="Times New Roman" w:hAnsi="Times New Roman" w:eastAsia="仿宋_GB2312" w:cs="Times New Roman"/>
          <w:b w:val="0"/>
          <w:bCs w:val="0"/>
          <w:kern w:val="2"/>
          <w:sz w:val="32"/>
          <w:szCs w:val="32"/>
          <w:lang w:eastAsia="zh-CN" w:bidi="ar-SA"/>
        </w:rPr>
        <w:t>、</w:t>
      </w:r>
      <w:r>
        <w:rPr>
          <w:rFonts w:hint="eastAsia" w:ascii="Times New Roman" w:hAnsi="Times New Roman" w:eastAsia="仿宋_GB2312" w:cs="Times New Roman"/>
          <w:b w:val="0"/>
          <w:bCs w:val="0"/>
          <w:kern w:val="2"/>
          <w:sz w:val="32"/>
          <w:szCs w:val="32"/>
          <w:lang w:val="en-US" w:eastAsia="zh-CN" w:bidi="ar-SA"/>
        </w:rPr>
        <w:t>加</w:t>
      </w:r>
      <w:r>
        <w:rPr>
          <w:rFonts w:ascii="Times New Roman" w:hAnsi="Times New Roman" w:eastAsia="仿宋_GB2312" w:cs="Times New Roman"/>
          <w:b w:val="0"/>
          <w:bCs w:val="0"/>
          <w:kern w:val="2"/>
          <w:sz w:val="32"/>
          <w:szCs w:val="32"/>
          <w:lang w:bidi="ar-SA"/>
        </w:rPr>
        <w:t>疾病身故险</w:t>
      </w:r>
      <w:r>
        <w:rPr>
          <w:rFonts w:hint="eastAsia" w:ascii="Times New Roman" w:hAnsi="Times New Roman" w:eastAsia="仿宋_GB2312" w:cs="Times New Roman"/>
          <w:b w:val="0"/>
          <w:bCs w:val="0"/>
          <w:kern w:val="2"/>
          <w:sz w:val="32"/>
          <w:szCs w:val="32"/>
          <w:lang w:val="en-US" w:eastAsia="zh-CN" w:bidi="ar-SA"/>
        </w:rPr>
        <w:t>最低10万（采购人可进行增加）</w:t>
      </w:r>
      <w:r>
        <w:rPr>
          <w:rFonts w:ascii="Times New Roman" w:hAnsi="Times New Roman" w:eastAsia="仿宋_GB2312" w:cs="Times New Roman"/>
          <w:b w:val="0"/>
          <w:bCs w:val="0"/>
          <w:kern w:val="2"/>
          <w:sz w:val="32"/>
          <w:szCs w:val="32"/>
          <w:lang w:bidi="ar-SA"/>
        </w:rPr>
        <w:t>。</w:t>
      </w:r>
    </w:p>
    <w:p w14:paraId="3B7ABC19">
      <w:pPr>
        <w:pStyle w:val="27"/>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五、响应文件的递交</w:t>
      </w:r>
    </w:p>
    <w:p w14:paraId="5F862A6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包一、包二响应文件</w:t>
      </w:r>
      <w:r>
        <w:rPr>
          <w:rFonts w:hint="eastAsia" w:ascii="仿宋_GB2312" w:hAnsi="仿宋_GB2312" w:eastAsia="仿宋_GB2312" w:cs="仿宋_GB2312"/>
          <w:color w:val="auto"/>
          <w:sz w:val="32"/>
          <w:szCs w:val="32"/>
          <w:lang w:val="en-US" w:eastAsia="zh-CN"/>
        </w:rPr>
        <w:t>请参选人</w:t>
      </w:r>
      <w:r>
        <w:rPr>
          <w:rFonts w:hint="eastAsia" w:ascii="仿宋_GB2312" w:hAnsi="仿宋_GB2312" w:cs="仿宋_GB2312"/>
          <w:color w:val="auto"/>
          <w:sz w:val="32"/>
          <w:szCs w:val="32"/>
          <w:lang w:val="en-US" w:eastAsia="zh-CN"/>
        </w:rPr>
        <w:t>自行参照要求</w:t>
      </w:r>
      <w:r>
        <w:rPr>
          <w:rFonts w:hint="eastAsia" w:ascii="仿宋_GB2312" w:hAnsi="仿宋_GB2312" w:eastAsia="仿宋_GB2312" w:cs="仿宋_GB2312"/>
          <w:color w:val="auto"/>
          <w:sz w:val="32"/>
          <w:szCs w:val="32"/>
          <w:lang w:val="en-US" w:eastAsia="zh-CN"/>
        </w:rPr>
        <w:t>按照以下顺序提供资料，装订成册并密封递交。包括但不限于以下材料（格式自拟）：</w:t>
      </w:r>
    </w:p>
    <w:p w14:paraId="5846429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（一）参选人的证照。包括营业执照、经营保险业务许可证等与原件一致的复印件。</w:t>
      </w:r>
    </w:p>
    <w:p w14:paraId="000684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（二）</w:t>
      </w:r>
      <w:r>
        <w:rPr>
          <w:rFonts w:hint="eastAsia" w:ascii="仿宋_GB2312" w:hAnsi="仿宋_GB2312" w:eastAsia="仿宋_GB2312" w:cs="仿宋_GB2312"/>
          <w:color w:val="auto"/>
          <w:sz w:val="32"/>
          <w:szCs w:val="32"/>
          <w:lang w:val="en-US" w:eastAsia="zh-CN"/>
        </w:rPr>
        <w:t>基本情况介绍。</w:t>
      </w:r>
      <w:r>
        <w:rPr>
          <w:rFonts w:hint="eastAsia" w:ascii="仿宋_GB2312" w:hAnsi="仿宋_GB2312" w:eastAsia="仿宋_GB2312" w:cs="仿宋_GB2312"/>
          <w:sz w:val="32"/>
          <w:szCs w:val="32"/>
          <w:lang w:val="en-US" w:eastAsia="zh-CN"/>
        </w:rPr>
        <w:t>包括但不限于申请人简介、综合排名、经营状况，内部管理制度（投诉、回访、争议调处制度）、2024年三季度或四季度综合评级情况及近年（2022年至今）承办的类似项目业绩及证明材料。</w:t>
      </w:r>
    </w:p>
    <w:p w14:paraId="6039190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（三）人员配置情况。拟派服务团队人员简历介绍，包括但不限于执业职业资格证书情况及之前承办类似业绩介绍。</w:t>
      </w:r>
    </w:p>
    <w:p w14:paraId="6468FEC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保险及理赔方案。针对企业需求制定的详细保险方案，包括保险类型、范围、期限、金额，方案中明确服务流程、响应时间、保险责任、免责条款、理赔流程、保险金的给付及理赔质量保障措施等，承诺提供优质保险服务。</w:t>
      </w:r>
    </w:p>
    <w:p w14:paraId="323805F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（五）收费报价。报价应注明对本项目的具体报价，同时列出保险费用计算的依据、方法和具体金额。</w:t>
      </w:r>
    </w:p>
    <w:p w14:paraId="443B1A5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（六）承诺函。对本所提供材料的真实性以及是否满足比选公告中规定的服务范围和要求作出明确、具体的承诺。</w:t>
      </w:r>
    </w:p>
    <w:p w14:paraId="6647874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（七）对项目开展过程中所获取信息及相关项目资料的保密承诺。</w:t>
      </w:r>
    </w:p>
    <w:p w14:paraId="658F27E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（八）</w:t>
      </w:r>
      <w:r>
        <w:rPr>
          <w:rFonts w:hint="eastAsia" w:ascii="仿宋_GB2312" w:hAnsi="仿宋_GB2312" w:eastAsia="仿宋_GB2312" w:cs="仿宋_GB2312"/>
          <w:color w:val="auto"/>
          <w:sz w:val="32"/>
          <w:szCs w:val="32"/>
          <w:lang w:val="en-US" w:eastAsia="zh-CN"/>
        </w:rPr>
        <w:t>对谈判代表的授权委托书。</w:t>
      </w:r>
    </w:p>
    <w:p w14:paraId="3D99B42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（九）</w:t>
      </w:r>
      <w:r>
        <w:rPr>
          <w:rFonts w:hint="eastAsia" w:ascii="仿宋_GB2312" w:hAnsi="仿宋_GB2312" w:eastAsia="仿宋_GB2312" w:cs="仿宋_GB2312"/>
          <w:color w:val="auto"/>
          <w:sz w:val="32"/>
          <w:szCs w:val="32"/>
          <w:lang w:val="en-US" w:eastAsia="zh-CN"/>
        </w:rPr>
        <w:t>认为应当提供的其他必要资料。</w:t>
      </w:r>
    </w:p>
    <w:p w14:paraId="7443282B">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参选人</w:t>
      </w:r>
      <w:r>
        <w:rPr>
          <w:rFonts w:hint="eastAsia" w:ascii="仿宋_GB2312" w:hAnsi="仿宋_GB2312" w:eastAsia="仿宋_GB2312" w:cs="仿宋_GB2312"/>
          <w:sz w:val="32"/>
          <w:szCs w:val="32"/>
          <w:lang w:eastAsia="zh-CN"/>
        </w:rPr>
        <w:t>需提供</w:t>
      </w:r>
      <w:r>
        <w:rPr>
          <w:rFonts w:hint="eastAsia" w:ascii="仿宋_GB2312" w:hAnsi="仿宋_GB2312" w:eastAsia="仿宋_GB2312" w:cs="仿宋_GB2312"/>
          <w:sz w:val="32"/>
          <w:szCs w:val="32"/>
          <w:lang w:val="en-US" w:eastAsia="zh-CN"/>
        </w:rPr>
        <w:t>投标</w:t>
      </w:r>
      <w:r>
        <w:rPr>
          <w:rFonts w:hint="eastAsia" w:ascii="仿宋_GB2312" w:hAnsi="仿宋_GB2312" w:eastAsia="仿宋_GB2312" w:cs="仿宋_GB2312"/>
          <w:sz w:val="32"/>
          <w:szCs w:val="32"/>
          <w:lang w:eastAsia="zh-CN"/>
        </w:rPr>
        <w:t>文件一式</w:t>
      </w:r>
      <w:r>
        <w:rPr>
          <w:rFonts w:hint="eastAsia" w:ascii="仿宋_GB2312" w:hAnsi="仿宋_GB2312" w:eastAsia="仿宋_GB2312" w:cs="仿宋_GB2312"/>
          <w:sz w:val="32"/>
          <w:szCs w:val="32"/>
          <w:lang w:val="en-US" w:eastAsia="zh-CN"/>
        </w:rPr>
        <w:t>3份，</w:t>
      </w:r>
      <w:r>
        <w:rPr>
          <w:rFonts w:hint="eastAsia" w:ascii="仿宋_GB2312" w:hAnsi="仿宋_GB2312" w:cs="仿宋_GB2312"/>
          <w:sz w:val="32"/>
          <w:szCs w:val="32"/>
          <w:lang w:val="en-US" w:eastAsia="zh-CN"/>
        </w:rPr>
        <w:t>正本一份，副本二份，</w:t>
      </w:r>
      <w:r>
        <w:rPr>
          <w:rFonts w:hint="eastAsia" w:ascii="仿宋_GB2312" w:hAnsi="仿宋_GB2312" w:eastAsia="仿宋_GB2312" w:cs="仿宋_GB2312"/>
          <w:sz w:val="32"/>
          <w:szCs w:val="32"/>
        </w:rPr>
        <w:t>加盖单位鲜章并密封装订</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副本可采用正本复印件</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lang w:val="en-US" w:eastAsia="zh-CN"/>
        </w:rPr>
        <w:t>2025年</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月</w:t>
      </w:r>
      <w:r>
        <w:rPr>
          <w:rFonts w:hint="eastAsia" w:ascii="仿宋_GB2312" w:hAnsi="仿宋_GB2312" w:cs="仿宋_GB2312"/>
          <w:sz w:val="32"/>
          <w:szCs w:val="32"/>
          <w:lang w:val="en-US" w:eastAsia="zh-CN"/>
        </w:rPr>
        <w:t>29</w:t>
      </w:r>
      <w:r>
        <w:rPr>
          <w:rFonts w:hint="eastAsia" w:ascii="仿宋_GB2312" w:hAnsi="仿宋_GB2312" w:eastAsia="仿宋_GB2312" w:cs="仿宋_GB2312"/>
          <w:sz w:val="32"/>
          <w:szCs w:val="32"/>
          <w:lang w:val="en-US" w:eastAsia="zh-CN"/>
        </w:rPr>
        <w:t>日</w:t>
      </w:r>
      <w:r>
        <w:rPr>
          <w:rFonts w:hint="eastAsia" w:ascii="仿宋_GB2312" w:hAnsi="仿宋_GB2312" w:cs="仿宋_GB2312"/>
          <w:sz w:val="32"/>
          <w:szCs w:val="32"/>
          <w:lang w:val="en-US" w:eastAsia="zh-CN"/>
        </w:rPr>
        <w:t>14：00</w:t>
      </w:r>
      <w:r>
        <w:rPr>
          <w:rFonts w:hint="eastAsia" w:ascii="仿宋_GB2312" w:hAnsi="仿宋_GB2312" w:eastAsia="仿宋_GB2312" w:cs="仿宋_GB2312"/>
          <w:sz w:val="32"/>
          <w:szCs w:val="32"/>
          <w:lang w:val="en-US" w:eastAsia="zh-CN"/>
        </w:rPr>
        <w:t>之前，提交至公司</w:t>
      </w:r>
      <w:r>
        <w:rPr>
          <w:rFonts w:hint="eastAsia" w:ascii="仿宋_GB2312" w:hAnsi="仿宋_GB2312" w:cs="仿宋_GB2312"/>
          <w:sz w:val="32"/>
          <w:szCs w:val="32"/>
          <w:lang w:val="en-US" w:eastAsia="zh-CN"/>
        </w:rPr>
        <w:t>四川全盛人才服务有限责任公司</w:t>
      </w:r>
      <w:r>
        <w:rPr>
          <w:rFonts w:hint="eastAsia" w:ascii="仿宋_GB2312" w:hAnsi="仿宋_GB2312" w:eastAsia="仿宋_GB2312" w:cs="仿宋_GB2312"/>
          <w:sz w:val="32"/>
          <w:szCs w:val="32"/>
          <w:lang w:eastAsia="zh-CN"/>
        </w:rPr>
        <w:t>。</w:t>
      </w:r>
    </w:p>
    <w:p w14:paraId="137564A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b w:val="0"/>
          <w:bCs/>
          <w:kern w:val="2"/>
          <w:sz w:val="32"/>
          <w:szCs w:val="32"/>
          <w:lang w:val="en-US" w:eastAsia="zh-CN" w:bidi="ar-SA"/>
        </w:rPr>
        <w:t>六、评标标准及方法</w:t>
      </w:r>
      <w:r>
        <w:rPr>
          <w:rFonts w:hint="eastAsia" w:ascii="黑体" w:hAnsi="黑体" w:eastAsia="黑体" w:cs="黑体"/>
          <w:sz w:val="32"/>
          <w:szCs w:val="32"/>
          <w:lang w:val="en-US" w:eastAsia="zh-CN"/>
        </w:rPr>
        <w:t>​</w:t>
      </w:r>
    </w:p>
    <w:p w14:paraId="6C58E85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）评标标准</w:t>
      </w:r>
    </w:p>
    <w:p w14:paraId="39575AD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本次项目采用低价中标法，即在满足项目需求、供应商资格要求的前提下，以</w:t>
      </w:r>
      <w:r>
        <w:rPr>
          <w:rFonts w:hint="eastAsia" w:ascii="仿宋_GB2312" w:hAnsi="仿宋_GB2312" w:eastAsia="仿宋_GB2312" w:cs="仿宋_GB2312"/>
          <w:sz w:val="32"/>
          <w:szCs w:val="32"/>
          <w:lang w:val="en-US" w:eastAsia="zh-CN"/>
        </w:rPr>
        <w:t>两部分相加</w:t>
      </w:r>
      <w:r>
        <w:rPr>
          <w:rFonts w:hint="eastAsia" w:ascii="仿宋_GB2312" w:hAnsi="仿宋_GB2312" w:eastAsia="仿宋_GB2312" w:cs="仿宋_GB2312"/>
          <w:sz w:val="32"/>
          <w:szCs w:val="32"/>
          <w:lang w:eastAsia="zh-CN"/>
        </w:rPr>
        <w:t>最低报价作为中标依据。</w:t>
      </w:r>
    </w:p>
    <w:p w14:paraId="77DBE2B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）低价竞争规则</w:t>
      </w:r>
    </w:p>
    <w:p w14:paraId="0E47E3A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报价须包含全部保险责任及服务成本，不得缺项漏报。</w:t>
      </w:r>
    </w:p>
    <w:p w14:paraId="4EBCB34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报价有效期：自提交之日起90天。</w:t>
      </w:r>
    </w:p>
    <w:p w14:paraId="59D1F1E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首轮报价：供应商提交密封报价。</w:t>
      </w:r>
    </w:p>
    <w:p w14:paraId="5B124AD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最终报价：首轮报价最低的3家供应商进入谈判环节，可进行一次性最终报价（不得高于首轮报价）。</w:t>
      </w:r>
    </w:p>
    <w:p w14:paraId="415B898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成交原则：最终</w:t>
      </w:r>
      <w:r>
        <w:rPr>
          <w:rFonts w:hint="eastAsia" w:ascii="仿宋_GB2312" w:hAnsi="仿宋_GB2312" w:eastAsia="仿宋_GB2312" w:cs="仿宋_GB2312"/>
          <w:sz w:val="32"/>
          <w:szCs w:val="32"/>
          <w:lang w:val="en-US" w:eastAsia="zh-CN"/>
        </w:rPr>
        <w:t>总</w:t>
      </w:r>
      <w:r>
        <w:rPr>
          <w:rFonts w:hint="eastAsia" w:ascii="仿宋_GB2312" w:hAnsi="仿宋_GB2312" w:eastAsia="仿宋_GB2312" w:cs="仿宋_GB2312"/>
          <w:sz w:val="32"/>
          <w:szCs w:val="32"/>
          <w:lang w:eastAsia="zh-CN"/>
        </w:rPr>
        <w:t>报价最低者中标，如</w:t>
      </w:r>
      <w:r>
        <w:rPr>
          <w:rFonts w:hint="eastAsia" w:ascii="仿宋_GB2312" w:hAnsi="仿宋_GB2312" w:eastAsia="仿宋_GB2312" w:cs="仿宋_GB2312"/>
          <w:sz w:val="32"/>
          <w:szCs w:val="32"/>
          <w:lang w:val="en-US" w:eastAsia="zh-CN"/>
        </w:rPr>
        <w:t>总</w:t>
      </w:r>
      <w:r>
        <w:rPr>
          <w:rFonts w:hint="eastAsia" w:ascii="仿宋_GB2312" w:hAnsi="仿宋_GB2312" w:eastAsia="仿宋_GB2312" w:cs="仿宋_GB2312"/>
          <w:sz w:val="32"/>
          <w:szCs w:val="32"/>
          <w:lang w:eastAsia="zh-CN"/>
        </w:rPr>
        <w:t>报价相同则服务方案优者优先。</w:t>
      </w:r>
    </w:p>
    <w:p w14:paraId="348D352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七、联系方式</w:t>
      </w:r>
    </w:p>
    <w:p w14:paraId="6C715C0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联系人：</w:t>
      </w:r>
      <w:r>
        <w:rPr>
          <w:rFonts w:hint="eastAsia" w:ascii="仿宋_GB2312" w:hAnsi="仿宋_GB2312" w:eastAsia="仿宋_GB2312" w:cs="仿宋_GB2312"/>
          <w:sz w:val="32"/>
          <w:szCs w:val="32"/>
          <w:lang w:val="en-US" w:eastAsia="zh-CN"/>
        </w:rPr>
        <w:t>汤颖   13880809104</w:t>
      </w:r>
    </w:p>
    <w:p w14:paraId="366F5D1A">
      <w:pPr>
        <w:keepNext w:val="0"/>
        <w:keepLines w:val="0"/>
        <w:pageBreakBefore w:val="0"/>
        <w:kinsoku/>
        <w:wordWrap/>
        <w:overflowPunct/>
        <w:topLinePunct w:val="0"/>
        <w:autoSpaceDE/>
        <w:autoSpaceDN/>
        <w:bidi w:val="0"/>
        <w:adjustRightInd/>
        <w:snapToGrid/>
        <w:spacing w:line="560" w:lineRule="exact"/>
        <w:textAlignment w:val="auto"/>
        <w:rPr>
          <w:rFonts w:hint="default" w:ascii="黑体" w:hAnsi="黑体" w:eastAsia="黑体" w:cs="黑体"/>
          <w:b w:val="0"/>
          <w:bCs w:val="0"/>
          <w:sz w:val="32"/>
          <w:szCs w:val="32"/>
          <w:highlight w:val="yellow"/>
          <w:lang w:val="en-US" w:eastAsia="zh-CN"/>
        </w:rPr>
      </w:pPr>
    </w:p>
    <w:p w14:paraId="663C2945">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 xml:space="preserve">   </w:t>
      </w:r>
    </w:p>
    <w:p w14:paraId="11D73B35">
      <w:pPr>
        <w:spacing w:line="360" w:lineRule="auto"/>
        <w:ind w:left="1400" w:hanging="1400" w:hangingChars="500"/>
        <w:rPr>
          <w:sz w:val="28"/>
          <w:szCs w:val="28"/>
        </w:rPr>
      </w:pPr>
    </w:p>
    <w:p w14:paraId="11706B24">
      <w:pPr>
        <w:pStyle w:val="27"/>
        <w:keepNext w:val="0"/>
        <w:keepLines w:val="0"/>
        <w:pageBreakBefore w:val="0"/>
        <w:kinsoku/>
        <w:overflowPunct/>
        <w:topLinePunct w:val="0"/>
        <w:autoSpaceDE/>
        <w:autoSpaceDN/>
        <w:bidi w:val="0"/>
        <w:adjustRightInd/>
        <w:snapToGrid/>
        <w:spacing w:line="576" w:lineRule="exact"/>
        <w:ind w:left="0" w:leftChars="0" w:right="0" w:rightChars="0"/>
        <w:textAlignment w:val="auto"/>
        <w:rPr>
          <w:rFonts w:hint="eastAsia" w:ascii="仿宋_GB2312" w:eastAsia="仿宋_GB2312"/>
          <w:sz w:val="32"/>
          <w:szCs w:val="32"/>
          <w:lang w:val="en-US" w:eastAsia="zh-CN"/>
        </w:rPr>
      </w:pPr>
    </w:p>
    <w:p w14:paraId="0471543E">
      <w:pPr>
        <w:pStyle w:val="27"/>
        <w:keepNext w:val="0"/>
        <w:keepLines w:val="0"/>
        <w:pageBreakBefore w:val="0"/>
        <w:kinsoku/>
        <w:overflowPunct/>
        <w:topLinePunct w:val="0"/>
        <w:autoSpaceDE/>
        <w:autoSpaceDN/>
        <w:bidi w:val="0"/>
        <w:adjustRightInd/>
        <w:snapToGrid/>
        <w:spacing w:line="576" w:lineRule="exact"/>
        <w:ind w:left="0" w:leftChars="0" w:right="0" w:rightChars="0"/>
        <w:textAlignment w:val="auto"/>
        <w:rPr>
          <w:rFonts w:hint="eastAsia" w:ascii="仿宋_GB2312" w:eastAsia="仿宋_GB2312"/>
          <w:sz w:val="32"/>
          <w:szCs w:val="32"/>
          <w:lang w:val="en-US" w:eastAsia="zh-CN"/>
        </w:rPr>
      </w:pPr>
    </w:p>
    <w:p w14:paraId="620F40B6">
      <w:pPr>
        <w:pStyle w:val="27"/>
        <w:keepNext w:val="0"/>
        <w:keepLines w:val="0"/>
        <w:pageBreakBefore w:val="0"/>
        <w:kinsoku/>
        <w:overflowPunct/>
        <w:topLinePunct w:val="0"/>
        <w:autoSpaceDE/>
        <w:autoSpaceDN/>
        <w:bidi w:val="0"/>
        <w:adjustRightInd/>
        <w:snapToGrid/>
        <w:spacing w:line="576" w:lineRule="exact"/>
        <w:ind w:left="0" w:leftChars="0" w:right="0" w:rightChars="0"/>
        <w:textAlignment w:val="auto"/>
        <w:rPr>
          <w:rFonts w:hint="eastAsia" w:ascii="仿宋_GB2312" w:eastAsia="仿宋_GB2312"/>
          <w:sz w:val="32"/>
          <w:szCs w:val="32"/>
          <w:lang w:val="en-US" w:eastAsia="zh-CN"/>
        </w:rPr>
      </w:pPr>
    </w:p>
    <w:p w14:paraId="52E9288B">
      <w:pPr>
        <w:ind w:left="0" w:leftChars="0" w:firstLine="0" w:firstLineChars="0"/>
        <w:rPr>
          <w:rFonts w:hint="default" w:ascii="黑体" w:hAnsi="黑体" w:eastAsia="黑体" w:cs="黑体"/>
          <w:b w:val="0"/>
          <w:bCs w:val="0"/>
          <w:sz w:val="32"/>
          <w:szCs w:val="32"/>
          <w:highlight w:val="yellow"/>
          <w:lang w:val="en-US" w:eastAsia="zh-CN"/>
        </w:rPr>
      </w:pPr>
    </w:p>
    <w:sectPr>
      <w:headerReference r:id="rId5" w:type="default"/>
      <w:footerReference r:id="rId6" w:type="default"/>
      <w:footerReference r:id="rId7" w:type="even"/>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411E3D-971E-4353-81B4-FB465E7588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D9C1F296-E437-4E5F-8D77-30AB1E20B98C}"/>
  </w:font>
  <w:font w:name="楷体_GB2312">
    <w:panose1 w:val="02010609030101010101"/>
    <w:charset w:val="86"/>
    <w:family w:val="modern"/>
    <w:pitch w:val="default"/>
    <w:sig w:usb0="00000001" w:usb1="080E0000" w:usb2="00000000" w:usb3="00000000" w:csb0="00040000" w:csb1="00000000"/>
    <w:embedRegular r:id="rId3" w:fontKey="{C19AFCC1-847F-444A-B8DB-946BCC9EB7CE}"/>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4" w:fontKey="{892E3DA7-CE30-4471-8A50-F538D47162B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D6608">
    <w:pPr>
      <w:pStyle w:val="16"/>
      <w:tabs>
        <w:tab w:val="clear" w:pos="4153"/>
      </w:tabs>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4566920</wp:posOffset>
              </wp:positionH>
              <wp:positionV relativeFrom="paragraph">
                <wp:posOffset>73660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605C6">
                          <w:pPr>
                            <w:pStyle w:val="1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59.6pt;margin-top:5.8pt;height:144pt;width:144pt;mso-position-horizontal-relative:margin;mso-wrap-style:none;z-index:251659264;mso-width-relative:page;mso-height-relative:page;" filled="f" stroked="f" coordsize="21600,21600" o:gfxdata="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tdn/r1wAAAAsBAAAPAAAAAAAAAAEAIAAAACIAAABkcnMvZG93bnJldi54bWxQ&#10;SwECFAAUAAAACACHTuJAJIJGtDECAABhBAAADgAAAAAAAAABACAAAAAmAQAAZHJzL2Uyb0RvYy54&#10;bWxQSwUGAAAAAAYABgBZAQAAyQUAAAAA&#10;">
              <v:fill on="f" focussize="0,0"/>
              <v:stroke on="f" weight="0.5pt"/>
              <v:imagedata o:title=""/>
              <o:lock v:ext="edit" aspectratio="f"/>
              <v:textbox inset="0mm,0mm,0mm,0mm" style="mso-fit-shape-to-text:t;">
                <w:txbxContent>
                  <w:p w14:paraId="58D605C6">
                    <w:pPr>
                      <w:pStyle w:val="1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06E7C">
    <w:pPr>
      <w:pStyle w:val="16"/>
      <w:ind w:firstLine="360"/>
    </w:pPr>
    <w:r>
      <w:rPr>
        <w:sz w:val="18"/>
      </w:rPr>
      <mc:AlternateContent>
        <mc:Choice Requires="wps">
          <w:drawing>
            <wp:anchor distT="0" distB="0" distL="114300" distR="114300" simplePos="0" relativeHeight="251660288" behindDoc="0" locked="0" layoutInCell="1" allowOverlap="1">
              <wp:simplePos x="0" y="0"/>
              <wp:positionH relativeFrom="margin">
                <wp:posOffset>-146050</wp:posOffset>
              </wp:positionH>
              <wp:positionV relativeFrom="paragraph">
                <wp:posOffset>61595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FA4C0F">
                          <w:pPr>
                            <w:pStyle w:val="1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1.5pt;margin-top:4.85pt;height:144pt;width:144pt;mso-position-horizontal-relative:margin;mso-wrap-style:none;z-index:251660288;mso-width-relative:page;mso-height-relative:page;" filled="f" stroked="f" coordsize="21600,21600" o:gfxdata="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5uQAtcAAAAJAQAADwAAAAAAAAABACAAAAAiAAAAZHJzL2Rvd25yZXYueG1s&#10;UEsBAhQAFAAAAAgAh07iQOGA044yAgAAYQQAAA4AAAAAAAAAAQAgAAAAJgEAAGRycy9lMm9Eb2Mu&#10;eG1sUEsFBgAAAAAGAAYAWQEAAMoFAAAAAA==&#10;">
              <v:fill on="f" focussize="0,0"/>
              <v:stroke on="f" weight="0.5pt"/>
              <v:imagedata o:title=""/>
              <o:lock v:ext="edit" aspectratio="f"/>
              <v:textbox inset="0mm,0mm,0mm,0mm" style="mso-fit-shape-to-text:t;">
                <w:txbxContent>
                  <w:p w14:paraId="40FA4C0F">
                    <w:pPr>
                      <w:pStyle w:val="1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7DA19">
    <w:pPr>
      <w:pStyle w:val="1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D8E0A"/>
    <w:multiLevelType w:val="multilevel"/>
    <w:tmpl w:val="B04D8E0A"/>
    <w:lvl w:ilvl="0" w:tentative="0">
      <w:start w:val="1"/>
      <w:numFmt w:val="chineseCounting"/>
      <w:suff w:val="nothing"/>
      <w:lvlText w:val="第%1章 "/>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323" w:firstLine="0"/>
      </w:pPr>
      <w:rPr>
        <w:rFonts w:hint="eastAsia" w:ascii="宋体" w:hAnsi="宋体" w:eastAsia="宋体" w:cs="宋体"/>
      </w:rPr>
    </w:lvl>
    <w:lvl w:ilvl="2" w:tentative="0">
      <w:start w:val="1"/>
      <w:numFmt w:val="chineseCounting"/>
      <w:suff w:val="nothing"/>
      <w:lvlText w:val="(%3)"/>
      <w:lvlJc w:val="left"/>
      <w:pPr>
        <w:tabs>
          <w:tab w:val="left" w:pos="0"/>
        </w:tabs>
        <w:ind w:left="-323" w:firstLine="0"/>
      </w:pPr>
      <w:rPr>
        <w:rFonts w:hint="eastAsia" w:ascii="宋体" w:hAnsi="宋体" w:eastAsia="宋体" w:cs="宋体"/>
      </w:rPr>
    </w:lvl>
    <w:lvl w:ilvl="3" w:tentative="0">
      <w:start w:val="1"/>
      <w:numFmt w:val="decimal"/>
      <w:pStyle w:val="40"/>
      <w:suff w:val="nothing"/>
      <w:lvlText w:val="%4."/>
      <w:lvlJc w:val="left"/>
      <w:pPr>
        <w:tabs>
          <w:tab w:val="left" w:pos="0"/>
        </w:tabs>
        <w:ind w:left="0" w:firstLine="0"/>
      </w:pPr>
      <w:rPr>
        <w:rFonts w:hint="eastAsia" w:ascii="宋体" w:hAnsi="宋体" w:eastAsia="宋体" w:cs="宋体"/>
      </w:rPr>
    </w:lvl>
    <w:lvl w:ilvl="4" w:tentative="0">
      <w:start w:val="1"/>
      <w:numFmt w:val="decimal"/>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CA240A61"/>
    <w:multiLevelType w:val="singleLevel"/>
    <w:tmpl w:val="CA240A61"/>
    <w:lvl w:ilvl="0" w:tentative="0">
      <w:start w:val="1"/>
      <w:numFmt w:val="chineseCounting"/>
      <w:pStyle w:val="37"/>
      <w:suff w:val="nothing"/>
      <w:lvlText w:val="(%1)"/>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4OTk0YjVlZTI0YTg3MDQzZTAyNWFjZjExZGI1OWMifQ=="/>
  </w:docVars>
  <w:rsids>
    <w:rsidRoot w:val="008325A7"/>
    <w:rsid w:val="00001A73"/>
    <w:rsid w:val="000071EE"/>
    <w:rsid w:val="00037374"/>
    <w:rsid w:val="00072D62"/>
    <w:rsid w:val="0008511E"/>
    <w:rsid w:val="000A4B5A"/>
    <w:rsid w:val="000F1AA8"/>
    <w:rsid w:val="001009DC"/>
    <w:rsid w:val="00104CA6"/>
    <w:rsid w:val="001156E0"/>
    <w:rsid w:val="0012668D"/>
    <w:rsid w:val="0013053B"/>
    <w:rsid w:val="001315D9"/>
    <w:rsid w:val="0014322C"/>
    <w:rsid w:val="00157827"/>
    <w:rsid w:val="001624FB"/>
    <w:rsid w:val="00162CE0"/>
    <w:rsid w:val="001921AA"/>
    <w:rsid w:val="001A0346"/>
    <w:rsid w:val="001A4145"/>
    <w:rsid w:val="001A48EB"/>
    <w:rsid w:val="001A7AEF"/>
    <w:rsid w:val="001B226D"/>
    <w:rsid w:val="001B2E36"/>
    <w:rsid w:val="001C303F"/>
    <w:rsid w:val="001D4955"/>
    <w:rsid w:val="001F20B9"/>
    <w:rsid w:val="002130E3"/>
    <w:rsid w:val="002221F9"/>
    <w:rsid w:val="00227F11"/>
    <w:rsid w:val="00234434"/>
    <w:rsid w:val="00252BD4"/>
    <w:rsid w:val="00253B6E"/>
    <w:rsid w:val="00256BA3"/>
    <w:rsid w:val="00281126"/>
    <w:rsid w:val="002901EE"/>
    <w:rsid w:val="002911BB"/>
    <w:rsid w:val="002A13AF"/>
    <w:rsid w:val="002A6AC9"/>
    <w:rsid w:val="002B2B89"/>
    <w:rsid w:val="002C726C"/>
    <w:rsid w:val="002E58B5"/>
    <w:rsid w:val="00323064"/>
    <w:rsid w:val="00351A47"/>
    <w:rsid w:val="00370875"/>
    <w:rsid w:val="00370CDE"/>
    <w:rsid w:val="0037463D"/>
    <w:rsid w:val="00377EA4"/>
    <w:rsid w:val="003961C4"/>
    <w:rsid w:val="003A40D5"/>
    <w:rsid w:val="003B6E1B"/>
    <w:rsid w:val="003D6698"/>
    <w:rsid w:val="003D7F6C"/>
    <w:rsid w:val="00401EA1"/>
    <w:rsid w:val="00406C3B"/>
    <w:rsid w:val="0046127D"/>
    <w:rsid w:val="004D1EED"/>
    <w:rsid w:val="004E3142"/>
    <w:rsid w:val="004E4337"/>
    <w:rsid w:val="004F1A27"/>
    <w:rsid w:val="00500669"/>
    <w:rsid w:val="005047B3"/>
    <w:rsid w:val="00510CC2"/>
    <w:rsid w:val="00530373"/>
    <w:rsid w:val="005618A5"/>
    <w:rsid w:val="0057517F"/>
    <w:rsid w:val="00583ED9"/>
    <w:rsid w:val="00585051"/>
    <w:rsid w:val="005C676C"/>
    <w:rsid w:val="005C7A7A"/>
    <w:rsid w:val="005F1FE3"/>
    <w:rsid w:val="00600785"/>
    <w:rsid w:val="00626A71"/>
    <w:rsid w:val="0063520A"/>
    <w:rsid w:val="00657AD0"/>
    <w:rsid w:val="006937E1"/>
    <w:rsid w:val="006A3691"/>
    <w:rsid w:val="006C6991"/>
    <w:rsid w:val="006E5E17"/>
    <w:rsid w:val="006F4B98"/>
    <w:rsid w:val="00706C71"/>
    <w:rsid w:val="007111D2"/>
    <w:rsid w:val="0075138F"/>
    <w:rsid w:val="00766C20"/>
    <w:rsid w:val="007A2D96"/>
    <w:rsid w:val="007A4449"/>
    <w:rsid w:val="007A7166"/>
    <w:rsid w:val="007B4504"/>
    <w:rsid w:val="007B6F49"/>
    <w:rsid w:val="007C46A6"/>
    <w:rsid w:val="007E4F61"/>
    <w:rsid w:val="007F0B31"/>
    <w:rsid w:val="007F62F9"/>
    <w:rsid w:val="00810D96"/>
    <w:rsid w:val="00815076"/>
    <w:rsid w:val="008325A7"/>
    <w:rsid w:val="0083601D"/>
    <w:rsid w:val="008523C5"/>
    <w:rsid w:val="00855EF1"/>
    <w:rsid w:val="008B5A3A"/>
    <w:rsid w:val="008E7B64"/>
    <w:rsid w:val="00906C70"/>
    <w:rsid w:val="00960DC9"/>
    <w:rsid w:val="009725D5"/>
    <w:rsid w:val="009B0804"/>
    <w:rsid w:val="009D239A"/>
    <w:rsid w:val="009D5595"/>
    <w:rsid w:val="009F5D86"/>
    <w:rsid w:val="00A04DD4"/>
    <w:rsid w:val="00A05564"/>
    <w:rsid w:val="00A15AD2"/>
    <w:rsid w:val="00A17389"/>
    <w:rsid w:val="00A35227"/>
    <w:rsid w:val="00A45930"/>
    <w:rsid w:val="00A46102"/>
    <w:rsid w:val="00AA42E8"/>
    <w:rsid w:val="00AD01DD"/>
    <w:rsid w:val="00AD7322"/>
    <w:rsid w:val="00AE37F8"/>
    <w:rsid w:val="00B03552"/>
    <w:rsid w:val="00B11294"/>
    <w:rsid w:val="00B2250A"/>
    <w:rsid w:val="00B23CE8"/>
    <w:rsid w:val="00B510AA"/>
    <w:rsid w:val="00B720C7"/>
    <w:rsid w:val="00B73950"/>
    <w:rsid w:val="00B877FA"/>
    <w:rsid w:val="00B927D4"/>
    <w:rsid w:val="00B93D2C"/>
    <w:rsid w:val="00BB50C2"/>
    <w:rsid w:val="00BC0224"/>
    <w:rsid w:val="00BC7ED4"/>
    <w:rsid w:val="00BD7B78"/>
    <w:rsid w:val="00C10F88"/>
    <w:rsid w:val="00C22993"/>
    <w:rsid w:val="00C61CD6"/>
    <w:rsid w:val="00C76CFE"/>
    <w:rsid w:val="00CA0834"/>
    <w:rsid w:val="00CA6536"/>
    <w:rsid w:val="00CD0390"/>
    <w:rsid w:val="00CE2597"/>
    <w:rsid w:val="00CE53B3"/>
    <w:rsid w:val="00CF0D2E"/>
    <w:rsid w:val="00D41F98"/>
    <w:rsid w:val="00D75461"/>
    <w:rsid w:val="00D80DDA"/>
    <w:rsid w:val="00D9600B"/>
    <w:rsid w:val="00DA08B6"/>
    <w:rsid w:val="00DA0BA1"/>
    <w:rsid w:val="00DC21BB"/>
    <w:rsid w:val="00E15A9E"/>
    <w:rsid w:val="00E15E66"/>
    <w:rsid w:val="00E4648E"/>
    <w:rsid w:val="00E46B58"/>
    <w:rsid w:val="00E513BB"/>
    <w:rsid w:val="00E561BD"/>
    <w:rsid w:val="00E63385"/>
    <w:rsid w:val="00E70DFF"/>
    <w:rsid w:val="00E767B2"/>
    <w:rsid w:val="00E92395"/>
    <w:rsid w:val="00E9739F"/>
    <w:rsid w:val="00EA3647"/>
    <w:rsid w:val="00EA3C0F"/>
    <w:rsid w:val="00EB72C0"/>
    <w:rsid w:val="00ED6124"/>
    <w:rsid w:val="00ED6DF3"/>
    <w:rsid w:val="00EE18E8"/>
    <w:rsid w:val="00F0101E"/>
    <w:rsid w:val="00FA0E22"/>
    <w:rsid w:val="00FD669C"/>
    <w:rsid w:val="011918B2"/>
    <w:rsid w:val="013E4434"/>
    <w:rsid w:val="015123B9"/>
    <w:rsid w:val="015A410A"/>
    <w:rsid w:val="01BC4FA6"/>
    <w:rsid w:val="01E21263"/>
    <w:rsid w:val="020C0D2B"/>
    <w:rsid w:val="021533E7"/>
    <w:rsid w:val="02165A06"/>
    <w:rsid w:val="02225934"/>
    <w:rsid w:val="02511F45"/>
    <w:rsid w:val="02867E41"/>
    <w:rsid w:val="02922951"/>
    <w:rsid w:val="02D7069C"/>
    <w:rsid w:val="03647295"/>
    <w:rsid w:val="03A63615"/>
    <w:rsid w:val="03B87C0A"/>
    <w:rsid w:val="03CA1FAF"/>
    <w:rsid w:val="03D35307"/>
    <w:rsid w:val="042D199D"/>
    <w:rsid w:val="04673D9A"/>
    <w:rsid w:val="04ED41A7"/>
    <w:rsid w:val="0506170D"/>
    <w:rsid w:val="051060E7"/>
    <w:rsid w:val="051E70C7"/>
    <w:rsid w:val="053B7608"/>
    <w:rsid w:val="053D7041"/>
    <w:rsid w:val="05453FE3"/>
    <w:rsid w:val="054D2E98"/>
    <w:rsid w:val="055D016C"/>
    <w:rsid w:val="05AB391F"/>
    <w:rsid w:val="05BF4EDA"/>
    <w:rsid w:val="05D92A62"/>
    <w:rsid w:val="060043AE"/>
    <w:rsid w:val="06436049"/>
    <w:rsid w:val="07283BBC"/>
    <w:rsid w:val="07537450"/>
    <w:rsid w:val="07B436A2"/>
    <w:rsid w:val="082B15F3"/>
    <w:rsid w:val="08362309"/>
    <w:rsid w:val="084C38DA"/>
    <w:rsid w:val="08514A4D"/>
    <w:rsid w:val="087B283A"/>
    <w:rsid w:val="08A454C4"/>
    <w:rsid w:val="08A57889"/>
    <w:rsid w:val="08EF6F9C"/>
    <w:rsid w:val="09245B35"/>
    <w:rsid w:val="092C0542"/>
    <w:rsid w:val="094822F4"/>
    <w:rsid w:val="0978425B"/>
    <w:rsid w:val="09BA5EC4"/>
    <w:rsid w:val="09EB2C7F"/>
    <w:rsid w:val="0A0254DC"/>
    <w:rsid w:val="0A29677A"/>
    <w:rsid w:val="0A8536E3"/>
    <w:rsid w:val="0AB3589F"/>
    <w:rsid w:val="0AE812A4"/>
    <w:rsid w:val="0AFD563B"/>
    <w:rsid w:val="0AFE52E2"/>
    <w:rsid w:val="0AFF2E86"/>
    <w:rsid w:val="0B111E50"/>
    <w:rsid w:val="0B341A0B"/>
    <w:rsid w:val="0B3A01F2"/>
    <w:rsid w:val="0B5605CC"/>
    <w:rsid w:val="0BA457DB"/>
    <w:rsid w:val="0BA96040"/>
    <w:rsid w:val="0BD55995"/>
    <w:rsid w:val="0BDC72AF"/>
    <w:rsid w:val="0BEE1258"/>
    <w:rsid w:val="0BFC5DA1"/>
    <w:rsid w:val="0C161A76"/>
    <w:rsid w:val="0C4F369E"/>
    <w:rsid w:val="0C6433BC"/>
    <w:rsid w:val="0C721436"/>
    <w:rsid w:val="0C8C24F7"/>
    <w:rsid w:val="0CF34325"/>
    <w:rsid w:val="0D5A1912"/>
    <w:rsid w:val="0D5F16A5"/>
    <w:rsid w:val="0D8458C4"/>
    <w:rsid w:val="0D865E9A"/>
    <w:rsid w:val="0DC951FD"/>
    <w:rsid w:val="0DCF3BB1"/>
    <w:rsid w:val="0DF873DC"/>
    <w:rsid w:val="0E7771D7"/>
    <w:rsid w:val="0EC71F0D"/>
    <w:rsid w:val="0EF551EF"/>
    <w:rsid w:val="0EF95E3E"/>
    <w:rsid w:val="0F0628CA"/>
    <w:rsid w:val="0F331350"/>
    <w:rsid w:val="0F6B2258"/>
    <w:rsid w:val="0FA45DAA"/>
    <w:rsid w:val="103B6607"/>
    <w:rsid w:val="10613C1E"/>
    <w:rsid w:val="109202F8"/>
    <w:rsid w:val="109A400B"/>
    <w:rsid w:val="11020F53"/>
    <w:rsid w:val="11125D7F"/>
    <w:rsid w:val="11285C6C"/>
    <w:rsid w:val="113F222E"/>
    <w:rsid w:val="11691DF7"/>
    <w:rsid w:val="11C91AF8"/>
    <w:rsid w:val="11E2788C"/>
    <w:rsid w:val="126D4132"/>
    <w:rsid w:val="12753A2E"/>
    <w:rsid w:val="12780EBF"/>
    <w:rsid w:val="12811179"/>
    <w:rsid w:val="12A12A75"/>
    <w:rsid w:val="12A609C4"/>
    <w:rsid w:val="12DA3CCA"/>
    <w:rsid w:val="133C50B1"/>
    <w:rsid w:val="133E2072"/>
    <w:rsid w:val="139E58EC"/>
    <w:rsid w:val="13CE5AEB"/>
    <w:rsid w:val="140134E9"/>
    <w:rsid w:val="140D412C"/>
    <w:rsid w:val="14C21B83"/>
    <w:rsid w:val="14C4512F"/>
    <w:rsid w:val="14E86739"/>
    <w:rsid w:val="153D4CD7"/>
    <w:rsid w:val="15A14815"/>
    <w:rsid w:val="15BF215B"/>
    <w:rsid w:val="16192877"/>
    <w:rsid w:val="168D7598"/>
    <w:rsid w:val="16B44D49"/>
    <w:rsid w:val="16D05C0F"/>
    <w:rsid w:val="16D57191"/>
    <w:rsid w:val="16D927DD"/>
    <w:rsid w:val="17143815"/>
    <w:rsid w:val="17214BCC"/>
    <w:rsid w:val="174B3138"/>
    <w:rsid w:val="179825AC"/>
    <w:rsid w:val="17A95D26"/>
    <w:rsid w:val="17D9680D"/>
    <w:rsid w:val="1807285A"/>
    <w:rsid w:val="18080E56"/>
    <w:rsid w:val="18761267"/>
    <w:rsid w:val="18B81D45"/>
    <w:rsid w:val="18C41E92"/>
    <w:rsid w:val="18F90024"/>
    <w:rsid w:val="194D53D2"/>
    <w:rsid w:val="196D5877"/>
    <w:rsid w:val="19B765BD"/>
    <w:rsid w:val="19C534C4"/>
    <w:rsid w:val="19C5529B"/>
    <w:rsid w:val="19E85F99"/>
    <w:rsid w:val="1A027FFC"/>
    <w:rsid w:val="1A2F3664"/>
    <w:rsid w:val="1A322057"/>
    <w:rsid w:val="1A603147"/>
    <w:rsid w:val="1A69031C"/>
    <w:rsid w:val="1A824586"/>
    <w:rsid w:val="1AF60864"/>
    <w:rsid w:val="1AFD11CD"/>
    <w:rsid w:val="1B267FBB"/>
    <w:rsid w:val="1B553E4B"/>
    <w:rsid w:val="1B633F67"/>
    <w:rsid w:val="1B746033"/>
    <w:rsid w:val="1B9014F2"/>
    <w:rsid w:val="1C0B5B6A"/>
    <w:rsid w:val="1C806503"/>
    <w:rsid w:val="1CC84EA4"/>
    <w:rsid w:val="1CDD28FB"/>
    <w:rsid w:val="1D3D4EF6"/>
    <w:rsid w:val="1D6848BB"/>
    <w:rsid w:val="1D845445"/>
    <w:rsid w:val="1D8F1E47"/>
    <w:rsid w:val="1D903E12"/>
    <w:rsid w:val="1DB418AE"/>
    <w:rsid w:val="1DED4FA5"/>
    <w:rsid w:val="1E4E6744"/>
    <w:rsid w:val="1E63099F"/>
    <w:rsid w:val="1E9D2342"/>
    <w:rsid w:val="1EA53ACF"/>
    <w:rsid w:val="1EF305CE"/>
    <w:rsid w:val="1F7C289F"/>
    <w:rsid w:val="1FA2515A"/>
    <w:rsid w:val="1FA37E2C"/>
    <w:rsid w:val="1FC11D5D"/>
    <w:rsid w:val="200307FA"/>
    <w:rsid w:val="208B492C"/>
    <w:rsid w:val="21134478"/>
    <w:rsid w:val="21302DDD"/>
    <w:rsid w:val="21303941"/>
    <w:rsid w:val="21757471"/>
    <w:rsid w:val="219428FB"/>
    <w:rsid w:val="22041483"/>
    <w:rsid w:val="222E6699"/>
    <w:rsid w:val="223F02B8"/>
    <w:rsid w:val="22F35816"/>
    <w:rsid w:val="23330285"/>
    <w:rsid w:val="2346265E"/>
    <w:rsid w:val="23757D31"/>
    <w:rsid w:val="23C70344"/>
    <w:rsid w:val="23C93B55"/>
    <w:rsid w:val="23FA7725"/>
    <w:rsid w:val="25161424"/>
    <w:rsid w:val="25553977"/>
    <w:rsid w:val="25561D53"/>
    <w:rsid w:val="25755F61"/>
    <w:rsid w:val="25E371D4"/>
    <w:rsid w:val="26160DC9"/>
    <w:rsid w:val="267420B7"/>
    <w:rsid w:val="267A45A3"/>
    <w:rsid w:val="26B741BD"/>
    <w:rsid w:val="26C030E6"/>
    <w:rsid w:val="26EA3B05"/>
    <w:rsid w:val="27140D85"/>
    <w:rsid w:val="279F0D3D"/>
    <w:rsid w:val="27C11966"/>
    <w:rsid w:val="27F0517A"/>
    <w:rsid w:val="28021DAF"/>
    <w:rsid w:val="285C28B8"/>
    <w:rsid w:val="29661C32"/>
    <w:rsid w:val="296C4D0F"/>
    <w:rsid w:val="29763C76"/>
    <w:rsid w:val="2A151BDB"/>
    <w:rsid w:val="2A6374A7"/>
    <w:rsid w:val="2AA45AA1"/>
    <w:rsid w:val="2AD4469E"/>
    <w:rsid w:val="2B1253A5"/>
    <w:rsid w:val="2B14398C"/>
    <w:rsid w:val="2B2C20FD"/>
    <w:rsid w:val="2B2C257D"/>
    <w:rsid w:val="2B5D3585"/>
    <w:rsid w:val="2BE25210"/>
    <w:rsid w:val="2C0C61C7"/>
    <w:rsid w:val="2C485860"/>
    <w:rsid w:val="2C4958B7"/>
    <w:rsid w:val="2CD4199C"/>
    <w:rsid w:val="2CF56940"/>
    <w:rsid w:val="2D2F5988"/>
    <w:rsid w:val="2D3449DC"/>
    <w:rsid w:val="2D480265"/>
    <w:rsid w:val="2DA260B1"/>
    <w:rsid w:val="2E256F01"/>
    <w:rsid w:val="2E742720"/>
    <w:rsid w:val="2EA50152"/>
    <w:rsid w:val="2EB86D24"/>
    <w:rsid w:val="2F3F11F4"/>
    <w:rsid w:val="2F971030"/>
    <w:rsid w:val="2FAB7322"/>
    <w:rsid w:val="2FE10559"/>
    <w:rsid w:val="2FF80EF4"/>
    <w:rsid w:val="30044D2D"/>
    <w:rsid w:val="30651D38"/>
    <w:rsid w:val="30D71C3E"/>
    <w:rsid w:val="31441B75"/>
    <w:rsid w:val="3153318E"/>
    <w:rsid w:val="31610BFD"/>
    <w:rsid w:val="317951BA"/>
    <w:rsid w:val="31A42596"/>
    <w:rsid w:val="31D43E16"/>
    <w:rsid w:val="322150A3"/>
    <w:rsid w:val="324E2A8F"/>
    <w:rsid w:val="326A47D9"/>
    <w:rsid w:val="326E42CA"/>
    <w:rsid w:val="328047EA"/>
    <w:rsid w:val="32DA4C72"/>
    <w:rsid w:val="32E35972"/>
    <w:rsid w:val="32F32A21"/>
    <w:rsid w:val="3320203F"/>
    <w:rsid w:val="333F42E7"/>
    <w:rsid w:val="336631F3"/>
    <w:rsid w:val="33AD7BEE"/>
    <w:rsid w:val="33B43F5E"/>
    <w:rsid w:val="33C1372B"/>
    <w:rsid w:val="33EF143A"/>
    <w:rsid w:val="33F16F60"/>
    <w:rsid w:val="34AF2977"/>
    <w:rsid w:val="350568DC"/>
    <w:rsid w:val="35D87BA1"/>
    <w:rsid w:val="360E17E1"/>
    <w:rsid w:val="36202005"/>
    <w:rsid w:val="36385495"/>
    <w:rsid w:val="36456BE2"/>
    <w:rsid w:val="365F3B04"/>
    <w:rsid w:val="36836BE4"/>
    <w:rsid w:val="36960086"/>
    <w:rsid w:val="37062B1B"/>
    <w:rsid w:val="3722538A"/>
    <w:rsid w:val="37983B97"/>
    <w:rsid w:val="37C9171D"/>
    <w:rsid w:val="37DE5A4E"/>
    <w:rsid w:val="37E638C8"/>
    <w:rsid w:val="37F963E3"/>
    <w:rsid w:val="381759BA"/>
    <w:rsid w:val="381D6C3F"/>
    <w:rsid w:val="38276DA5"/>
    <w:rsid w:val="38CE5939"/>
    <w:rsid w:val="390E1BBD"/>
    <w:rsid w:val="390E3ADB"/>
    <w:rsid w:val="393D49F6"/>
    <w:rsid w:val="3942025E"/>
    <w:rsid w:val="397523E2"/>
    <w:rsid w:val="39A44A75"/>
    <w:rsid w:val="3A706705"/>
    <w:rsid w:val="3AE90B6B"/>
    <w:rsid w:val="3B0E3235"/>
    <w:rsid w:val="3B2F036E"/>
    <w:rsid w:val="3BC75970"/>
    <w:rsid w:val="3BD01B51"/>
    <w:rsid w:val="3BD36066"/>
    <w:rsid w:val="3C017F5D"/>
    <w:rsid w:val="3C184528"/>
    <w:rsid w:val="3C461311"/>
    <w:rsid w:val="3C562548"/>
    <w:rsid w:val="3CB94393"/>
    <w:rsid w:val="3CC45CCC"/>
    <w:rsid w:val="3CC72F54"/>
    <w:rsid w:val="3CDE7BE6"/>
    <w:rsid w:val="3D033860"/>
    <w:rsid w:val="3D151B8F"/>
    <w:rsid w:val="3D34347D"/>
    <w:rsid w:val="3D8726E3"/>
    <w:rsid w:val="3D946757"/>
    <w:rsid w:val="3D9778AE"/>
    <w:rsid w:val="3DA013ED"/>
    <w:rsid w:val="3DEB2FBF"/>
    <w:rsid w:val="3E410ECE"/>
    <w:rsid w:val="3E843743"/>
    <w:rsid w:val="3E916267"/>
    <w:rsid w:val="3EBB4EFE"/>
    <w:rsid w:val="3ED93FE9"/>
    <w:rsid w:val="3EFE69D5"/>
    <w:rsid w:val="3F136CC1"/>
    <w:rsid w:val="3F1D54A1"/>
    <w:rsid w:val="3FA729C4"/>
    <w:rsid w:val="3FF73B50"/>
    <w:rsid w:val="400206ED"/>
    <w:rsid w:val="40291830"/>
    <w:rsid w:val="406867FC"/>
    <w:rsid w:val="406D4469"/>
    <w:rsid w:val="40F638BF"/>
    <w:rsid w:val="4133382B"/>
    <w:rsid w:val="41697319"/>
    <w:rsid w:val="418B11F8"/>
    <w:rsid w:val="41A8604D"/>
    <w:rsid w:val="41AF7178"/>
    <w:rsid w:val="41B015F1"/>
    <w:rsid w:val="4222781D"/>
    <w:rsid w:val="42C6448D"/>
    <w:rsid w:val="42DE56D6"/>
    <w:rsid w:val="42EB101F"/>
    <w:rsid w:val="42FA43F0"/>
    <w:rsid w:val="43137042"/>
    <w:rsid w:val="4391633D"/>
    <w:rsid w:val="43917B0C"/>
    <w:rsid w:val="43AB7208"/>
    <w:rsid w:val="43D6733E"/>
    <w:rsid w:val="43F901D6"/>
    <w:rsid w:val="43FF3CEC"/>
    <w:rsid w:val="446D5EB2"/>
    <w:rsid w:val="44883346"/>
    <w:rsid w:val="44E03714"/>
    <w:rsid w:val="44F67022"/>
    <w:rsid w:val="453727C7"/>
    <w:rsid w:val="45584905"/>
    <w:rsid w:val="45693B90"/>
    <w:rsid w:val="457A4B71"/>
    <w:rsid w:val="459108C7"/>
    <w:rsid w:val="45B433B8"/>
    <w:rsid w:val="45BF78FA"/>
    <w:rsid w:val="45ED3300"/>
    <w:rsid w:val="46BD00F4"/>
    <w:rsid w:val="46CB1893"/>
    <w:rsid w:val="46DA3884"/>
    <w:rsid w:val="470E352E"/>
    <w:rsid w:val="47255B16"/>
    <w:rsid w:val="473A4323"/>
    <w:rsid w:val="47A655C7"/>
    <w:rsid w:val="47B92925"/>
    <w:rsid w:val="47BE4E9F"/>
    <w:rsid w:val="47C85D79"/>
    <w:rsid w:val="47D46525"/>
    <w:rsid w:val="47E22428"/>
    <w:rsid w:val="47E40AE0"/>
    <w:rsid w:val="47FA3C2D"/>
    <w:rsid w:val="48155714"/>
    <w:rsid w:val="481C462A"/>
    <w:rsid w:val="481E1E9A"/>
    <w:rsid w:val="48284AC3"/>
    <w:rsid w:val="482E20D9"/>
    <w:rsid w:val="483643E4"/>
    <w:rsid w:val="48A06010"/>
    <w:rsid w:val="48AD1405"/>
    <w:rsid w:val="48D37FCC"/>
    <w:rsid w:val="491C63D6"/>
    <w:rsid w:val="49312BD1"/>
    <w:rsid w:val="49C11ED8"/>
    <w:rsid w:val="49E8450A"/>
    <w:rsid w:val="4A54394D"/>
    <w:rsid w:val="4A603B1C"/>
    <w:rsid w:val="4A761B16"/>
    <w:rsid w:val="4A9F2FEA"/>
    <w:rsid w:val="4AE70257"/>
    <w:rsid w:val="4AF426F2"/>
    <w:rsid w:val="4AF55530"/>
    <w:rsid w:val="4B416C45"/>
    <w:rsid w:val="4B9A1834"/>
    <w:rsid w:val="4BB17040"/>
    <w:rsid w:val="4C0B44E0"/>
    <w:rsid w:val="4C2869FC"/>
    <w:rsid w:val="4C6D0CF6"/>
    <w:rsid w:val="4C9D1948"/>
    <w:rsid w:val="4CED0E58"/>
    <w:rsid w:val="4CF2547F"/>
    <w:rsid w:val="4CFB6302"/>
    <w:rsid w:val="4DB119DA"/>
    <w:rsid w:val="4DC0364A"/>
    <w:rsid w:val="4DD74354"/>
    <w:rsid w:val="4E4651CB"/>
    <w:rsid w:val="4E6E38A6"/>
    <w:rsid w:val="4E9609D8"/>
    <w:rsid w:val="4E962786"/>
    <w:rsid w:val="4E9B5FEF"/>
    <w:rsid w:val="4EB55862"/>
    <w:rsid w:val="4EEE35F7"/>
    <w:rsid w:val="4F133E80"/>
    <w:rsid w:val="4F496AF0"/>
    <w:rsid w:val="4F701F1F"/>
    <w:rsid w:val="4F823A61"/>
    <w:rsid w:val="4FC21359"/>
    <w:rsid w:val="503B5269"/>
    <w:rsid w:val="5091613C"/>
    <w:rsid w:val="50CA6717"/>
    <w:rsid w:val="50D66CE7"/>
    <w:rsid w:val="510A492D"/>
    <w:rsid w:val="51335C4E"/>
    <w:rsid w:val="5134039F"/>
    <w:rsid w:val="51436DC6"/>
    <w:rsid w:val="51897CE2"/>
    <w:rsid w:val="51956D25"/>
    <w:rsid w:val="51A17958"/>
    <w:rsid w:val="51CE4EC2"/>
    <w:rsid w:val="51D203AB"/>
    <w:rsid w:val="521D0194"/>
    <w:rsid w:val="522A0C67"/>
    <w:rsid w:val="523708B4"/>
    <w:rsid w:val="527D12B0"/>
    <w:rsid w:val="52E33AC0"/>
    <w:rsid w:val="52E95517"/>
    <w:rsid w:val="530F1C0B"/>
    <w:rsid w:val="535A1B74"/>
    <w:rsid w:val="53876359"/>
    <w:rsid w:val="53A61FBC"/>
    <w:rsid w:val="53C733E2"/>
    <w:rsid w:val="53D94F3D"/>
    <w:rsid w:val="53E76B77"/>
    <w:rsid w:val="54733175"/>
    <w:rsid w:val="548B3171"/>
    <w:rsid w:val="54D71D0B"/>
    <w:rsid w:val="553B5E36"/>
    <w:rsid w:val="55401A5F"/>
    <w:rsid w:val="554A1709"/>
    <w:rsid w:val="554F7B33"/>
    <w:rsid w:val="55704FAC"/>
    <w:rsid w:val="557E3F74"/>
    <w:rsid w:val="55A33E57"/>
    <w:rsid w:val="55AE70A3"/>
    <w:rsid w:val="55B94FAC"/>
    <w:rsid w:val="55E0078B"/>
    <w:rsid w:val="5608328C"/>
    <w:rsid w:val="561A2C0A"/>
    <w:rsid w:val="562E7748"/>
    <w:rsid w:val="5664316A"/>
    <w:rsid w:val="56776BE5"/>
    <w:rsid w:val="56A271A3"/>
    <w:rsid w:val="56B934B6"/>
    <w:rsid w:val="57070843"/>
    <w:rsid w:val="57882E88"/>
    <w:rsid w:val="57B36157"/>
    <w:rsid w:val="57DE2F63"/>
    <w:rsid w:val="581A483E"/>
    <w:rsid w:val="58767220"/>
    <w:rsid w:val="58D04AE7"/>
    <w:rsid w:val="590A15F0"/>
    <w:rsid w:val="59404A08"/>
    <w:rsid w:val="595F0171"/>
    <w:rsid w:val="59722042"/>
    <w:rsid w:val="59745C8F"/>
    <w:rsid w:val="59B12B6A"/>
    <w:rsid w:val="59EC7749"/>
    <w:rsid w:val="5ADE798F"/>
    <w:rsid w:val="5AE1535B"/>
    <w:rsid w:val="5AEE74A6"/>
    <w:rsid w:val="5B0D3DD0"/>
    <w:rsid w:val="5B446F5B"/>
    <w:rsid w:val="5B616E16"/>
    <w:rsid w:val="5B770330"/>
    <w:rsid w:val="5BF2320D"/>
    <w:rsid w:val="5C061FC0"/>
    <w:rsid w:val="5C4307BC"/>
    <w:rsid w:val="5C6914DA"/>
    <w:rsid w:val="5C7761F2"/>
    <w:rsid w:val="5CE943C9"/>
    <w:rsid w:val="5CFA48F1"/>
    <w:rsid w:val="5CFD5FA5"/>
    <w:rsid w:val="5D052888"/>
    <w:rsid w:val="5E0F7E5F"/>
    <w:rsid w:val="5E163F4B"/>
    <w:rsid w:val="5E5F0DE7"/>
    <w:rsid w:val="5E9842F9"/>
    <w:rsid w:val="5EAD0710"/>
    <w:rsid w:val="5EB85257"/>
    <w:rsid w:val="5EC249DD"/>
    <w:rsid w:val="5EE40F07"/>
    <w:rsid w:val="5EF93D94"/>
    <w:rsid w:val="5F0F6AB3"/>
    <w:rsid w:val="5F726542"/>
    <w:rsid w:val="605D23A1"/>
    <w:rsid w:val="608200E7"/>
    <w:rsid w:val="60953A2C"/>
    <w:rsid w:val="60C512C6"/>
    <w:rsid w:val="60C74A21"/>
    <w:rsid w:val="6111172F"/>
    <w:rsid w:val="61617F0B"/>
    <w:rsid w:val="61696B02"/>
    <w:rsid w:val="61A31F75"/>
    <w:rsid w:val="61DF5D9B"/>
    <w:rsid w:val="620330F5"/>
    <w:rsid w:val="62040243"/>
    <w:rsid w:val="621E2D67"/>
    <w:rsid w:val="6293679D"/>
    <w:rsid w:val="62A65297"/>
    <w:rsid w:val="62D71603"/>
    <w:rsid w:val="62E73159"/>
    <w:rsid w:val="631A1780"/>
    <w:rsid w:val="632B6D67"/>
    <w:rsid w:val="63786BF6"/>
    <w:rsid w:val="638F3FCA"/>
    <w:rsid w:val="63A63014"/>
    <w:rsid w:val="6411283E"/>
    <w:rsid w:val="64FB3E97"/>
    <w:rsid w:val="654B3C55"/>
    <w:rsid w:val="65736F26"/>
    <w:rsid w:val="657F1D6E"/>
    <w:rsid w:val="65A05619"/>
    <w:rsid w:val="65BA2DA7"/>
    <w:rsid w:val="661E3335"/>
    <w:rsid w:val="66220CD3"/>
    <w:rsid w:val="665464CE"/>
    <w:rsid w:val="666028A7"/>
    <w:rsid w:val="667B5391"/>
    <w:rsid w:val="66C814F3"/>
    <w:rsid w:val="67542D4C"/>
    <w:rsid w:val="681E62D0"/>
    <w:rsid w:val="682D7860"/>
    <w:rsid w:val="68396AD8"/>
    <w:rsid w:val="685B767C"/>
    <w:rsid w:val="68AB1476"/>
    <w:rsid w:val="68B47001"/>
    <w:rsid w:val="68F677EC"/>
    <w:rsid w:val="690031C6"/>
    <w:rsid w:val="69335730"/>
    <w:rsid w:val="69354AF3"/>
    <w:rsid w:val="69603C65"/>
    <w:rsid w:val="69E43E8C"/>
    <w:rsid w:val="69E744F1"/>
    <w:rsid w:val="69EA5F4F"/>
    <w:rsid w:val="69EC626E"/>
    <w:rsid w:val="6A412950"/>
    <w:rsid w:val="6A6C1A5B"/>
    <w:rsid w:val="6A8222C3"/>
    <w:rsid w:val="6AE2075E"/>
    <w:rsid w:val="6AEF52A0"/>
    <w:rsid w:val="6AF262EA"/>
    <w:rsid w:val="6B0B272C"/>
    <w:rsid w:val="6BA24603"/>
    <w:rsid w:val="6BE552B4"/>
    <w:rsid w:val="6C1F73E2"/>
    <w:rsid w:val="6CC96048"/>
    <w:rsid w:val="6CF41172"/>
    <w:rsid w:val="6D3E7075"/>
    <w:rsid w:val="6D6D6950"/>
    <w:rsid w:val="6D8134CB"/>
    <w:rsid w:val="6DC54F61"/>
    <w:rsid w:val="6DE62494"/>
    <w:rsid w:val="6E335424"/>
    <w:rsid w:val="6E4A5C33"/>
    <w:rsid w:val="6E5F7E74"/>
    <w:rsid w:val="6E91666F"/>
    <w:rsid w:val="6F0230C8"/>
    <w:rsid w:val="6F593685"/>
    <w:rsid w:val="6F6049BF"/>
    <w:rsid w:val="6F886069"/>
    <w:rsid w:val="6F954251"/>
    <w:rsid w:val="6FA61327"/>
    <w:rsid w:val="6FDD7DBD"/>
    <w:rsid w:val="6FF92854"/>
    <w:rsid w:val="6FFB0243"/>
    <w:rsid w:val="70092D5A"/>
    <w:rsid w:val="703F5309"/>
    <w:rsid w:val="711847C9"/>
    <w:rsid w:val="712209D4"/>
    <w:rsid w:val="71542301"/>
    <w:rsid w:val="716444BF"/>
    <w:rsid w:val="71A32941"/>
    <w:rsid w:val="71E00465"/>
    <w:rsid w:val="71EE2CB3"/>
    <w:rsid w:val="71F25676"/>
    <w:rsid w:val="7219681E"/>
    <w:rsid w:val="724A66D2"/>
    <w:rsid w:val="72A746B3"/>
    <w:rsid w:val="73445F4E"/>
    <w:rsid w:val="738772E4"/>
    <w:rsid w:val="73AD10C6"/>
    <w:rsid w:val="73B2330F"/>
    <w:rsid w:val="73E406E3"/>
    <w:rsid w:val="740A314B"/>
    <w:rsid w:val="746A25B5"/>
    <w:rsid w:val="74740D5A"/>
    <w:rsid w:val="755E13C7"/>
    <w:rsid w:val="756F5DEC"/>
    <w:rsid w:val="759859B1"/>
    <w:rsid w:val="75A54B78"/>
    <w:rsid w:val="75CB4EBC"/>
    <w:rsid w:val="764D6C44"/>
    <w:rsid w:val="76572C96"/>
    <w:rsid w:val="77130569"/>
    <w:rsid w:val="771F45EC"/>
    <w:rsid w:val="775A6197"/>
    <w:rsid w:val="775D5643"/>
    <w:rsid w:val="77757723"/>
    <w:rsid w:val="777D3C34"/>
    <w:rsid w:val="77A053BB"/>
    <w:rsid w:val="77B967CA"/>
    <w:rsid w:val="77CB499F"/>
    <w:rsid w:val="77D813A7"/>
    <w:rsid w:val="77EA1E43"/>
    <w:rsid w:val="7859558E"/>
    <w:rsid w:val="78693F11"/>
    <w:rsid w:val="78826DAC"/>
    <w:rsid w:val="79273E57"/>
    <w:rsid w:val="79314CD6"/>
    <w:rsid w:val="797352EE"/>
    <w:rsid w:val="79F857F4"/>
    <w:rsid w:val="7A6D43A4"/>
    <w:rsid w:val="7B0C59FB"/>
    <w:rsid w:val="7B7315D6"/>
    <w:rsid w:val="7B880CE6"/>
    <w:rsid w:val="7BF84F85"/>
    <w:rsid w:val="7C1C7EBF"/>
    <w:rsid w:val="7D067591"/>
    <w:rsid w:val="7D1851EE"/>
    <w:rsid w:val="7DB04509"/>
    <w:rsid w:val="7DE83EE6"/>
    <w:rsid w:val="7E5E59BF"/>
    <w:rsid w:val="7E601AF0"/>
    <w:rsid w:val="7E81391B"/>
    <w:rsid w:val="7E945EE0"/>
    <w:rsid w:val="7E99642E"/>
    <w:rsid w:val="7EB268B9"/>
    <w:rsid w:val="7ECA45E1"/>
    <w:rsid w:val="7ED71E7C"/>
    <w:rsid w:val="7EEB4500"/>
    <w:rsid w:val="7F1534D8"/>
    <w:rsid w:val="7F1C75B4"/>
    <w:rsid w:val="7F4A5E54"/>
    <w:rsid w:val="7F594F87"/>
    <w:rsid w:val="7FC12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60" w:lineRule="exact"/>
      <w:ind w:firstLine="880" w:firstLineChars="200"/>
      <w:jc w:val="both"/>
    </w:pPr>
    <w:rPr>
      <w:rFonts w:eastAsia="仿宋_GB2312" w:asciiTheme="minorHAnsi" w:hAnsiTheme="minorHAnsi" w:cstheme="minorBidi"/>
      <w:kern w:val="2"/>
      <w:sz w:val="32"/>
      <w:szCs w:val="24"/>
      <w:lang w:val="en-US" w:eastAsia="zh-CN" w:bidi="ar-SA"/>
    </w:rPr>
  </w:style>
  <w:style w:type="paragraph" w:styleId="3">
    <w:name w:val="heading 1"/>
    <w:basedOn w:val="1"/>
    <w:next w:val="1"/>
    <w:autoRedefine/>
    <w:qFormat/>
    <w:uiPriority w:val="0"/>
    <w:pPr>
      <w:keepNext/>
      <w:keepLines/>
      <w:spacing w:line="700" w:lineRule="exact"/>
      <w:outlineLvl w:val="0"/>
    </w:pPr>
    <w:rPr>
      <w:rFonts w:eastAsia="黑体"/>
      <w:kern w:val="44"/>
    </w:rPr>
  </w:style>
  <w:style w:type="paragraph" w:styleId="4">
    <w:name w:val="heading 2"/>
    <w:basedOn w:val="1"/>
    <w:next w:val="1"/>
    <w:autoRedefine/>
    <w:unhideWhenUsed/>
    <w:qFormat/>
    <w:uiPriority w:val="0"/>
    <w:pPr>
      <w:keepNext/>
      <w:keepLines/>
      <w:spacing w:line="700" w:lineRule="exact"/>
      <w:outlineLvl w:val="1"/>
    </w:pPr>
    <w:rPr>
      <w:rFonts w:ascii="Arial" w:hAnsi="Arial" w:eastAsia="楷体_GB2312"/>
      <w:b/>
    </w:rPr>
  </w:style>
  <w:style w:type="paragraph" w:styleId="5">
    <w:name w:val="heading 3"/>
    <w:basedOn w:val="1"/>
    <w:next w:val="1"/>
    <w:autoRedefine/>
    <w:unhideWhenUsed/>
    <w:qFormat/>
    <w:uiPriority w:val="0"/>
    <w:pPr>
      <w:keepNext/>
      <w:keepLines/>
      <w:spacing w:line="700" w:lineRule="exact"/>
      <w:outlineLvl w:val="2"/>
    </w:pPr>
  </w:style>
  <w:style w:type="paragraph" w:styleId="6">
    <w:name w:val="heading 4"/>
    <w:basedOn w:val="1"/>
    <w:next w:val="1"/>
    <w:autoRedefine/>
    <w:unhideWhenUsed/>
    <w:qFormat/>
    <w:uiPriority w:val="0"/>
    <w:pPr>
      <w:keepNext/>
      <w:keepLines/>
      <w:spacing w:line="700" w:lineRule="exact"/>
      <w:outlineLvl w:val="3"/>
    </w:pPr>
    <w:rPr>
      <w:rFonts w:ascii="Arial" w:hAnsi="Arial"/>
    </w:rPr>
  </w:style>
  <w:style w:type="paragraph" w:styleId="7">
    <w:name w:val="heading 5"/>
    <w:basedOn w:val="1"/>
    <w:next w:val="1"/>
    <w:autoRedefine/>
    <w:unhideWhenUsed/>
    <w:qFormat/>
    <w:uiPriority w:val="0"/>
    <w:pPr>
      <w:keepNext/>
      <w:keepLines/>
      <w:spacing w:before="280" w:after="290" w:line="372" w:lineRule="auto"/>
      <w:outlineLvl w:val="4"/>
    </w:pPr>
    <w:rPr>
      <w:b/>
      <w:sz w:val="28"/>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8">
    <w:name w:val="Normal Indent"/>
    <w:basedOn w:val="1"/>
    <w:autoRedefine/>
    <w:qFormat/>
    <w:uiPriority w:val="0"/>
    <w:pPr>
      <w:ind w:firstLine="630"/>
    </w:pPr>
    <w:rPr>
      <w:rFonts w:ascii="Times New Roman"/>
      <w:szCs w:val="32"/>
    </w:rPr>
  </w:style>
  <w:style w:type="paragraph" w:styleId="9">
    <w:name w:val="annotation text"/>
    <w:basedOn w:val="1"/>
    <w:link w:val="33"/>
    <w:autoRedefine/>
    <w:qFormat/>
    <w:uiPriority w:val="0"/>
    <w:pPr>
      <w:jc w:val="left"/>
    </w:pPr>
  </w:style>
  <w:style w:type="paragraph" w:styleId="10">
    <w:name w:val="Salutation"/>
    <w:basedOn w:val="1"/>
    <w:next w:val="1"/>
    <w:autoRedefine/>
    <w:qFormat/>
    <w:uiPriority w:val="99"/>
  </w:style>
  <w:style w:type="paragraph" w:styleId="11">
    <w:name w:val="Body Text 3"/>
    <w:basedOn w:val="1"/>
    <w:autoRedefine/>
    <w:qFormat/>
    <w:uiPriority w:val="0"/>
    <w:pPr>
      <w:spacing w:after="120"/>
    </w:pPr>
    <w:rPr>
      <w:sz w:val="16"/>
      <w:szCs w:val="16"/>
    </w:rPr>
  </w:style>
  <w:style w:type="paragraph" w:styleId="12">
    <w:name w:val="Body Text"/>
    <w:basedOn w:val="1"/>
    <w:next w:val="1"/>
    <w:autoRedefine/>
    <w:qFormat/>
    <w:uiPriority w:val="0"/>
    <w:pPr>
      <w:spacing w:after="120"/>
    </w:pPr>
  </w:style>
  <w:style w:type="paragraph" w:styleId="13">
    <w:name w:val="Body Text Indent"/>
    <w:basedOn w:val="1"/>
    <w:next w:val="14"/>
    <w:qFormat/>
    <w:uiPriority w:val="0"/>
    <w:pPr>
      <w:adjustRightInd w:val="0"/>
      <w:spacing w:line="312" w:lineRule="atLeast"/>
      <w:ind w:firstLine="574"/>
      <w:textAlignment w:val="baseline"/>
    </w:pPr>
    <w:rPr>
      <w:rFonts w:ascii="宋体"/>
      <w:kern w:val="0"/>
      <w:sz w:val="28"/>
    </w:rPr>
  </w:style>
  <w:style w:type="paragraph" w:styleId="14">
    <w:name w:val="envelope return"/>
    <w:basedOn w:val="1"/>
    <w:qFormat/>
    <w:uiPriority w:val="0"/>
    <w:pPr>
      <w:snapToGrid w:val="0"/>
    </w:pPr>
    <w:rPr>
      <w:rFonts w:ascii="Arial" w:hAnsi="Arial"/>
    </w:rPr>
  </w:style>
  <w:style w:type="paragraph" w:styleId="15">
    <w:name w:val="Balloon Text"/>
    <w:basedOn w:val="1"/>
    <w:link w:val="35"/>
    <w:autoRedefine/>
    <w:qFormat/>
    <w:uiPriority w:val="0"/>
    <w:pPr>
      <w:spacing w:line="240" w:lineRule="auto"/>
    </w:pPr>
    <w:rPr>
      <w:rFonts w:ascii="宋体" w:eastAsia="宋体"/>
      <w:sz w:val="18"/>
      <w:szCs w:val="18"/>
    </w:rPr>
  </w:style>
  <w:style w:type="paragraph" w:styleId="16">
    <w:name w:val="footer"/>
    <w:basedOn w:val="1"/>
    <w:autoRedefine/>
    <w:qFormat/>
    <w:uiPriority w:val="99"/>
    <w:pPr>
      <w:tabs>
        <w:tab w:val="center" w:pos="4153"/>
        <w:tab w:val="right" w:pos="8306"/>
      </w:tabs>
      <w:snapToGrid w:val="0"/>
      <w:jc w:val="left"/>
    </w:pPr>
    <w:rPr>
      <w:sz w:val="18"/>
      <w:szCs w:val="18"/>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6"/>
    <w:basedOn w:val="1"/>
    <w:next w:val="1"/>
    <w:qFormat/>
    <w:uiPriority w:val="0"/>
    <w:pPr>
      <w:tabs>
        <w:tab w:val="left" w:pos="0"/>
      </w:tabs>
      <w:ind w:left="2100"/>
    </w:pPr>
  </w:style>
  <w:style w:type="paragraph" w:styleId="19">
    <w:name w:val="Normal (Web)"/>
    <w:basedOn w:val="1"/>
    <w:autoRedefine/>
    <w:qFormat/>
    <w:uiPriority w:val="0"/>
    <w:pPr>
      <w:spacing w:beforeAutospacing="1" w:afterAutospacing="1"/>
      <w:jc w:val="left"/>
    </w:pPr>
    <w:rPr>
      <w:rFonts w:cs="Times New Roman"/>
      <w:kern w:val="0"/>
      <w:sz w:val="24"/>
    </w:rPr>
  </w:style>
  <w:style w:type="paragraph" w:styleId="20">
    <w:name w:val="annotation subject"/>
    <w:basedOn w:val="9"/>
    <w:next w:val="9"/>
    <w:link w:val="34"/>
    <w:autoRedefine/>
    <w:qFormat/>
    <w:uiPriority w:val="0"/>
    <w:rPr>
      <w:b/>
      <w:bCs/>
    </w:rPr>
  </w:style>
  <w:style w:type="table" w:styleId="22">
    <w:name w:val="Table Grid"/>
    <w:basedOn w:val="21"/>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Emphasis"/>
    <w:basedOn w:val="23"/>
    <w:autoRedefine/>
    <w:qFormat/>
    <w:uiPriority w:val="0"/>
    <w:rPr>
      <w:i/>
    </w:rPr>
  </w:style>
  <w:style w:type="character" w:styleId="26">
    <w:name w:val="annotation reference"/>
    <w:basedOn w:val="23"/>
    <w:autoRedefine/>
    <w:qFormat/>
    <w:uiPriority w:val="0"/>
    <w:rPr>
      <w:sz w:val="21"/>
      <w:szCs w:val="21"/>
    </w:rPr>
  </w:style>
  <w:style w:type="paragraph" w:customStyle="1" w:styleId="27">
    <w:name w:val="AONormal"/>
    <w:autoRedefine/>
    <w:qFormat/>
    <w:uiPriority w:val="0"/>
    <w:pPr>
      <w:spacing w:line="260" w:lineRule="atLeast"/>
    </w:pPr>
    <w:rPr>
      <w:rFonts w:ascii="Times New Roman" w:hAnsi="Times New Roman" w:eastAsia="宋体" w:cs="Times New Roman"/>
      <w:sz w:val="22"/>
      <w:szCs w:val="22"/>
      <w:lang w:val="en-US" w:eastAsia="en-US" w:bidi="ar-SA"/>
    </w:rPr>
  </w:style>
  <w:style w:type="paragraph" w:styleId="28">
    <w:name w:val="List Paragraph"/>
    <w:basedOn w:val="1"/>
    <w:autoRedefine/>
    <w:qFormat/>
    <w:uiPriority w:val="34"/>
    <w:pPr>
      <w:ind w:firstLine="420"/>
    </w:pPr>
    <w:rPr>
      <w:rFonts w:ascii="Times New Roman" w:hAnsi="Times New Roman" w:eastAsia="宋体" w:cs="Times New Roman"/>
    </w:rPr>
  </w:style>
  <w:style w:type="character" w:customStyle="1" w:styleId="29">
    <w:name w:val="font01"/>
    <w:basedOn w:val="23"/>
    <w:autoRedefine/>
    <w:qFormat/>
    <w:uiPriority w:val="0"/>
    <w:rPr>
      <w:rFonts w:hint="eastAsia" w:ascii="仿宋" w:hAnsi="仿宋" w:eastAsia="仿宋" w:cs="仿宋"/>
      <w:color w:val="000000"/>
      <w:sz w:val="20"/>
      <w:szCs w:val="20"/>
      <w:u w:val="none"/>
    </w:rPr>
  </w:style>
  <w:style w:type="character" w:customStyle="1" w:styleId="30">
    <w:name w:val="font31"/>
    <w:basedOn w:val="23"/>
    <w:autoRedefine/>
    <w:qFormat/>
    <w:uiPriority w:val="0"/>
    <w:rPr>
      <w:rFonts w:hint="eastAsia" w:ascii="仿宋" w:hAnsi="仿宋" w:eastAsia="仿宋" w:cs="仿宋"/>
      <w:b/>
      <w:bCs/>
      <w:color w:val="000000"/>
      <w:sz w:val="20"/>
      <w:szCs w:val="20"/>
      <w:u w:val="none"/>
    </w:rPr>
  </w:style>
  <w:style w:type="character" w:customStyle="1" w:styleId="31">
    <w:name w:val="font41"/>
    <w:basedOn w:val="23"/>
    <w:autoRedefine/>
    <w:qFormat/>
    <w:uiPriority w:val="0"/>
    <w:rPr>
      <w:rFonts w:hint="eastAsia" w:ascii="仿宋" w:hAnsi="仿宋" w:eastAsia="仿宋" w:cs="仿宋"/>
      <w:b/>
      <w:bCs/>
      <w:color w:val="000000"/>
      <w:sz w:val="20"/>
      <w:szCs w:val="20"/>
      <w:u w:val="none"/>
    </w:rPr>
  </w:style>
  <w:style w:type="character" w:customStyle="1" w:styleId="32">
    <w:name w:val="font11"/>
    <w:basedOn w:val="23"/>
    <w:autoRedefine/>
    <w:qFormat/>
    <w:uiPriority w:val="0"/>
    <w:rPr>
      <w:rFonts w:hint="eastAsia" w:ascii="仿宋" w:hAnsi="仿宋" w:eastAsia="仿宋" w:cs="仿宋"/>
      <w:color w:val="000000"/>
      <w:sz w:val="20"/>
      <w:szCs w:val="20"/>
      <w:u w:val="none"/>
    </w:rPr>
  </w:style>
  <w:style w:type="character" w:customStyle="1" w:styleId="33">
    <w:name w:val="批注文字 字符"/>
    <w:basedOn w:val="23"/>
    <w:link w:val="9"/>
    <w:autoRedefine/>
    <w:qFormat/>
    <w:uiPriority w:val="0"/>
    <w:rPr>
      <w:rFonts w:asciiTheme="minorHAnsi" w:hAnsiTheme="minorHAnsi" w:eastAsiaTheme="minorEastAsia" w:cstheme="minorBidi"/>
      <w:kern w:val="2"/>
      <w:sz w:val="21"/>
      <w:szCs w:val="24"/>
    </w:rPr>
  </w:style>
  <w:style w:type="character" w:customStyle="1" w:styleId="34">
    <w:name w:val="批注主题 字符"/>
    <w:basedOn w:val="33"/>
    <w:link w:val="20"/>
    <w:autoRedefine/>
    <w:qFormat/>
    <w:uiPriority w:val="0"/>
    <w:rPr>
      <w:rFonts w:asciiTheme="minorHAnsi" w:hAnsiTheme="minorHAnsi" w:eastAsiaTheme="minorEastAsia" w:cstheme="minorBidi"/>
      <w:b/>
      <w:bCs/>
      <w:kern w:val="2"/>
      <w:sz w:val="21"/>
      <w:szCs w:val="24"/>
    </w:rPr>
  </w:style>
  <w:style w:type="character" w:customStyle="1" w:styleId="35">
    <w:name w:val="批注框文本 字符"/>
    <w:basedOn w:val="23"/>
    <w:link w:val="15"/>
    <w:autoRedefine/>
    <w:qFormat/>
    <w:uiPriority w:val="0"/>
    <w:rPr>
      <w:rFonts w:ascii="宋体" w:hAnsiTheme="minorHAnsi" w:cstheme="minorBidi"/>
      <w:kern w:val="2"/>
      <w:sz w:val="18"/>
      <w:szCs w:val="18"/>
    </w:rPr>
  </w:style>
  <w:style w:type="paragraph" w:customStyle="1" w:styleId="36">
    <w:name w:val="Table Paragraph"/>
    <w:basedOn w:val="1"/>
    <w:qFormat/>
    <w:uiPriority w:val="1"/>
    <w:rPr>
      <w:rFonts w:ascii="Times New Roman" w:hAnsi="Times New Roman" w:eastAsia="宋体" w:cs="Times New Roman"/>
      <w:szCs w:val="24"/>
      <w:lang w:val="zh-CN" w:bidi="zh-CN"/>
    </w:rPr>
  </w:style>
  <w:style w:type="paragraph" w:customStyle="1" w:styleId="37">
    <w:name w:val="20、第五章“(一)”三级标题"/>
    <w:basedOn w:val="38"/>
    <w:qFormat/>
    <w:uiPriority w:val="0"/>
    <w:pPr>
      <w:pageBreakBefore/>
      <w:numPr>
        <w:ilvl w:val="0"/>
        <w:numId w:val="1"/>
      </w:numPr>
      <w:tabs>
        <w:tab w:val="left" w:pos="0"/>
      </w:tabs>
      <w:spacing w:before="50" w:beforeLines="50" w:after="50" w:afterLines="50"/>
      <w:jc w:val="center"/>
      <w:outlineLvl w:val="2"/>
    </w:pPr>
    <w:rPr>
      <w:rFonts w:ascii="宋体" w:hAnsi="宋体" w:eastAsia="宋体"/>
      <w:b/>
      <w:sz w:val="28"/>
    </w:rPr>
  </w:style>
  <w:style w:type="paragraph" w:customStyle="1" w:styleId="38">
    <w:name w:val="01、普通正文"/>
    <w:basedOn w:val="1"/>
    <w:next w:val="18"/>
    <w:qFormat/>
    <w:uiPriority w:val="0"/>
    <w:pPr>
      <w:tabs>
        <w:tab w:val="left" w:pos="0"/>
      </w:tabs>
      <w:wordWrap w:val="0"/>
      <w:topLinePunct/>
      <w:ind w:firstLine="0" w:firstLineChars="0"/>
    </w:pPr>
    <w:rPr>
      <w:rFonts w:ascii="宋体" w:hAnsi="宋体" w:eastAsia="宋体"/>
      <w:snapToGrid w:val="0"/>
    </w:rPr>
  </w:style>
  <w:style w:type="paragraph" w:customStyle="1" w:styleId="39">
    <w:name w:val="02、首行缩进2字符正文"/>
    <w:basedOn w:val="1"/>
    <w:qFormat/>
    <w:uiPriority w:val="0"/>
    <w:pPr>
      <w:tabs>
        <w:tab w:val="left" w:pos="0"/>
      </w:tabs>
      <w:wordWrap w:val="0"/>
      <w:topLinePunct/>
      <w:ind w:firstLine="480" w:firstLineChars="200"/>
    </w:pPr>
    <w:rPr>
      <w:rFonts w:ascii="宋体" w:hAnsi="宋体" w:eastAsia="宋体"/>
    </w:rPr>
  </w:style>
  <w:style w:type="paragraph" w:customStyle="1" w:styleId="40">
    <w:name w:val="17“1.”四级标题"/>
    <w:basedOn w:val="39"/>
    <w:qFormat/>
    <w:uiPriority w:val="0"/>
    <w:pPr>
      <w:numPr>
        <w:ilvl w:val="3"/>
        <w:numId w:val="2"/>
      </w:numPr>
      <w:ind w:firstLine="803" w:firstLineChars="200"/>
    </w:pPr>
    <w:rPr>
      <w:rFonts w:ascii="宋体" w:hAnsi="宋体" w:eastAsia="宋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4409</Words>
  <Characters>4501</Characters>
  <Lines>24</Lines>
  <Paragraphs>6</Paragraphs>
  <TotalTime>12</TotalTime>
  <ScaleCrop>false</ScaleCrop>
  <LinksUpToDate>false</LinksUpToDate>
  <CharactersWithSpaces>4515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2024-04-15T12:34:00Z</dcterms:created>
  <dc:creator>A</dc:creator>
  <cp:lastModifiedBy>Tiffany</cp:lastModifiedBy>
  <cp:lastPrinted>2025-04-24T02:58:00Z</cp:lastPrinted>
  <dcterms:modified xsi:type="dcterms:W3CDTF">2025-07-03T05:29:06Z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1765921F4ABD482C97A013938243A318_13</vt:lpwstr>
  </property>
  <property fmtid="{D5CDD505-2E9C-101B-9397-08002B2CF9AE}" pid="4" name="KSOTemplateDocerSaveRecord">
    <vt:lpwstr>eyJoZGlkIjoiMDQyZDA5ZTlmYjE2OGMzOTM4MzM0N2Q0MjU0ZTRlOWEiLCJ1c2VySWQiOiIyNjA2NzQ4MTcifQ==</vt:lpwstr>
  </property>
</Properties>
</file>